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2D695" w14:textId="77777777" w:rsidR="00E740EA" w:rsidRPr="000A6633" w:rsidRDefault="005F68BC" w:rsidP="00353377">
      <w:pPr>
        <w:pStyle w:val="Default"/>
        <w:rPr>
          <w:rFonts w:ascii="Calibri" w:hAnsi="Calibri" w:cs="Calibri"/>
          <w:noProof/>
          <w:lang w:val="en-CA" w:eastAsia="en-CA"/>
        </w:rPr>
      </w:pPr>
      <w:bookmarkStart w:id="0" w:name="_GoBack"/>
      <w:bookmarkEnd w:id="0"/>
      <w:r w:rsidRPr="000A6633">
        <w:rPr>
          <w:rFonts w:ascii="Calibri" w:hAnsi="Calibri" w:cs="Calibri"/>
          <w:noProof/>
          <w:lang w:val="en-CA" w:eastAsia="en-CA"/>
        </w:rPr>
        <w:drawing>
          <wp:inline distT="0" distB="0" distL="0" distR="0" wp14:anchorId="60DA408A" wp14:editId="2FEAC55A">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BEF0644" w14:textId="53150766" w:rsidR="00353377" w:rsidRPr="003F0E2E" w:rsidRDefault="0040206C" w:rsidP="003F0E2E">
      <w:pPr>
        <w:pStyle w:val="Heading1"/>
      </w:pPr>
      <w:r>
        <w:t xml:space="preserve">SW 3O03 </w:t>
      </w:r>
      <w:r w:rsidR="007A55AC">
        <w:t>Social Work &amp; Sexualities</w:t>
      </w:r>
    </w:p>
    <w:p w14:paraId="01351A38" w14:textId="766CFFFD" w:rsidR="00E740EA" w:rsidRPr="003F0E2E" w:rsidRDefault="007A55AC" w:rsidP="0040206C">
      <w:pPr>
        <w:pStyle w:val="ListParagraph"/>
        <w:numPr>
          <w:ilvl w:val="0"/>
          <w:numId w:val="22"/>
        </w:numPr>
        <w:rPr>
          <w:rFonts w:ascii="Arial" w:hAnsi="Arial" w:cs="Arial"/>
          <w:sz w:val="24"/>
          <w:szCs w:val="24"/>
        </w:rPr>
      </w:pPr>
      <w:bookmarkStart w:id="1" w:name="_Toc12437020"/>
      <w:r>
        <w:rPr>
          <w:rFonts w:ascii="Arial" w:hAnsi="Arial" w:cs="Arial"/>
          <w:sz w:val="24"/>
          <w:szCs w:val="24"/>
        </w:rPr>
        <w:t>January 6</w:t>
      </w:r>
      <w:r w:rsidR="00856F68" w:rsidRPr="003F0E2E">
        <w:rPr>
          <w:rFonts w:ascii="Arial" w:hAnsi="Arial" w:cs="Arial"/>
          <w:sz w:val="24"/>
          <w:szCs w:val="24"/>
        </w:rPr>
        <w:t xml:space="preserve"> </w:t>
      </w:r>
      <w:r w:rsidR="00353377" w:rsidRPr="003F0E2E">
        <w:rPr>
          <w:rFonts w:ascii="Arial" w:hAnsi="Arial" w:cs="Arial"/>
          <w:sz w:val="24"/>
          <w:szCs w:val="24"/>
        </w:rPr>
        <w:t xml:space="preserve">to </w:t>
      </w:r>
      <w:r>
        <w:rPr>
          <w:rFonts w:ascii="Arial" w:hAnsi="Arial" w:cs="Arial"/>
          <w:sz w:val="24"/>
          <w:szCs w:val="24"/>
        </w:rPr>
        <w:t>April 7, 2020</w:t>
      </w:r>
      <w:r w:rsidR="000D7A37" w:rsidRPr="003F0E2E">
        <w:rPr>
          <w:rFonts w:ascii="Arial" w:hAnsi="Arial" w:cs="Arial"/>
          <w:sz w:val="24"/>
          <w:szCs w:val="24"/>
        </w:rPr>
        <w:t>,</w:t>
      </w:r>
      <w:r>
        <w:rPr>
          <w:rFonts w:ascii="Arial" w:hAnsi="Arial" w:cs="Arial"/>
          <w:sz w:val="24"/>
          <w:szCs w:val="24"/>
        </w:rPr>
        <w:t xml:space="preserve"> </w:t>
      </w:r>
      <w:bookmarkEnd w:id="1"/>
      <w:r w:rsidR="002C7543">
        <w:rPr>
          <w:rFonts w:ascii="Arial" w:hAnsi="Arial" w:cs="Arial"/>
          <w:sz w:val="24"/>
          <w:szCs w:val="24"/>
        </w:rPr>
        <w:t>Tuesdays, 7:00 -</w:t>
      </w:r>
      <w:r>
        <w:rPr>
          <w:rFonts w:ascii="Arial" w:hAnsi="Arial" w:cs="Arial"/>
          <w:sz w:val="24"/>
          <w:szCs w:val="24"/>
        </w:rPr>
        <w:t xml:space="preserve"> 10:00 </w:t>
      </w:r>
      <w:r w:rsidR="002C7543">
        <w:rPr>
          <w:rFonts w:ascii="Arial" w:hAnsi="Arial" w:cs="Arial"/>
          <w:sz w:val="24"/>
          <w:szCs w:val="24"/>
        </w:rPr>
        <w:t>p.m.</w:t>
      </w:r>
    </w:p>
    <w:p w14:paraId="6D3B8E9D" w14:textId="390EE2F3" w:rsidR="00E740EA" w:rsidRPr="003F0E2E" w:rsidRDefault="003F60FC" w:rsidP="0040206C">
      <w:pPr>
        <w:pStyle w:val="ListParagraph"/>
        <w:numPr>
          <w:ilvl w:val="0"/>
          <w:numId w:val="22"/>
        </w:numPr>
        <w:rPr>
          <w:rFonts w:ascii="Arial" w:hAnsi="Arial" w:cs="Arial"/>
          <w:sz w:val="24"/>
          <w:szCs w:val="24"/>
        </w:rPr>
      </w:pPr>
      <w:bookmarkStart w:id="2" w:name="_Toc12437021"/>
      <w:r w:rsidRPr="003F0E2E">
        <w:rPr>
          <w:rFonts w:ascii="Arial" w:hAnsi="Arial" w:cs="Arial"/>
          <w:sz w:val="24"/>
          <w:szCs w:val="24"/>
        </w:rPr>
        <w:t>Instructor:</w:t>
      </w:r>
      <w:r w:rsidR="00856F68" w:rsidRPr="003F0E2E">
        <w:rPr>
          <w:rFonts w:ascii="Arial" w:hAnsi="Arial" w:cs="Arial"/>
          <w:sz w:val="24"/>
          <w:szCs w:val="24"/>
        </w:rPr>
        <w:t xml:space="preserve"> </w:t>
      </w:r>
      <w:bookmarkEnd w:id="2"/>
      <w:r w:rsidR="007A55AC">
        <w:rPr>
          <w:rFonts w:ascii="Arial" w:hAnsi="Arial" w:cs="Arial"/>
          <w:sz w:val="24"/>
          <w:szCs w:val="24"/>
        </w:rPr>
        <w:t>Randy Jackson</w:t>
      </w:r>
    </w:p>
    <w:p w14:paraId="20DB06B0" w14:textId="46D16433" w:rsidR="00E740EA" w:rsidRPr="003F0E2E" w:rsidRDefault="00856F68" w:rsidP="0040206C">
      <w:pPr>
        <w:pStyle w:val="ListParagraph"/>
        <w:numPr>
          <w:ilvl w:val="0"/>
          <w:numId w:val="22"/>
        </w:numPr>
        <w:rPr>
          <w:rFonts w:ascii="Arial" w:hAnsi="Arial" w:cs="Arial"/>
          <w:sz w:val="24"/>
          <w:szCs w:val="24"/>
        </w:rPr>
      </w:pPr>
      <w:bookmarkStart w:id="3" w:name="_Toc12437022"/>
      <w:r w:rsidRPr="003F0E2E">
        <w:rPr>
          <w:rFonts w:ascii="Arial" w:hAnsi="Arial" w:cs="Arial"/>
          <w:sz w:val="24"/>
          <w:szCs w:val="24"/>
        </w:rPr>
        <w:t>Office: KTH-</w:t>
      </w:r>
      <w:bookmarkEnd w:id="3"/>
      <w:r w:rsidR="007A55AC">
        <w:rPr>
          <w:rFonts w:ascii="Arial" w:hAnsi="Arial" w:cs="Arial"/>
          <w:sz w:val="24"/>
          <w:szCs w:val="24"/>
        </w:rPr>
        <w:t>312</w:t>
      </w:r>
    </w:p>
    <w:p w14:paraId="0D9C514D" w14:textId="3091F6A5" w:rsidR="00E740EA" w:rsidRPr="003F0E2E" w:rsidRDefault="005C0205" w:rsidP="0040206C">
      <w:pPr>
        <w:pStyle w:val="ListParagraph"/>
        <w:numPr>
          <w:ilvl w:val="0"/>
          <w:numId w:val="22"/>
        </w:numPr>
        <w:rPr>
          <w:rFonts w:ascii="Arial" w:hAnsi="Arial" w:cs="Arial"/>
          <w:sz w:val="24"/>
          <w:szCs w:val="24"/>
        </w:rPr>
      </w:pPr>
      <w:bookmarkStart w:id="4" w:name="_Toc12437023"/>
      <w:r w:rsidRPr="003F0E2E">
        <w:rPr>
          <w:rFonts w:ascii="Arial" w:hAnsi="Arial" w:cs="Arial"/>
          <w:sz w:val="24"/>
          <w:szCs w:val="24"/>
        </w:rPr>
        <w:t xml:space="preserve">Office hours: </w:t>
      </w:r>
      <w:r w:rsidR="0040206C">
        <w:rPr>
          <w:rFonts w:ascii="Arial" w:hAnsi="Arial" w:cs="Arial"/>
          <w:sz w:val="24"/>
          <w:szCs w:val="24"/>
        </w:rPr>
        <w:t>Tuesdays</w:t>
      </w:r>
      <w:r w:rsidR="002C7543">
        <w:rPr>
          <w:rFonts w:ascii="Arial" w:hAnsi="Arial" w:cs="Arial"/>
          <w:sz w:val="24"/>
          <w:szCs w:val="24"/>
        </w:rPr>
        <w:t>,</w:t>
      </w:r>
      <w:bookmarkEnd w:id="4"/>
      <w:r w:rsidR="002C7543">
        <w:rPr>
          <w:rFonts w:ascii="Arial" w:hAnsi="Arial" w:cs="Arial"/>
          <w:sz w:val="24"/>
          <w:szCs w:val="24"/>
        </w:rPr>
        <w:t xml:space="preserve"> 4:00 - 5:30 p.m.</w:t>
      </w:r>
    </w:p>
    <w:p w14:paraId="40E7B5C3" w14:textId="1AC0C527" w:rsidR="00353377" w:rsidRDefault="003F60FC" w:rsidP="0040206C">
      <w:pPr>
        <w:pStyle w:val="ListParagraph"/>
        <w:numPr>
          <w:ilvl w:val="0"/>
          <w:numId w:val="22"/>
        </w:numPr>
        <w:rPr>
          <w:rFonts w:ascii="Arial" w:hAnsi="Arial" w:cs="Arial"/>
          <w:sz w:val="24"/>
          <w:szCs w:val="24"/>
        </w:rPr>
      </w:pPr>
      <w:bookmarkStart w:id="5" w:name="_Toc12437024"/>
      <w:r w:rsidRPr="003F0E2E">
        <w:rPr>
          <w:rFonts w:ascii="Arial" w:hAnsi="Arial" w:cs="Arial"/>
          <w:sz w:val="24"/>
          <w:szCs w:val="24"/>
        </w:rPr>
        <w:t>Email:</w:t>
      </w:r>
      <w:r w:rsidR="00856F68" w:rsidRPr="003F0E2E">
        <w:rPr>
          <w:rFonts w:ascii="Arial" w:hAnsi="Arial" w:cs="Arial"/>
          <w:sz w:val="24"/>
          <w:szCs w:val="24"/>
        </w:rPr>
        <w:t xml:space="preserve"> </w:t>
      </w:r>
      <w:bookmarkEnd w:id="5"/>
      <w:r w:rsidR="0040206C">
        <w:rPr>
          <w:rFonts w:ascii="Arial" w:hAnsi="Arial" w:cs="Arial"/>
          <w:sz w:val="24"/>
          <w:szCs w:val="24"/>
        </w:rPr>
        <w:fldChar w:fldCharType="begin"/>
      </w:r>
      <w:r w:rsidR="0040206C">
        <w:rPr>
          <w:rFonts w:ascii="Arial" w:hAnsi="Arial" w:cs="Arial"/>
          <w:sz w:val="24"/>
          <w:szCs w:val="24"/>
        </w:rPr>
        <w:instrText xml:space="preserve"> HYPERLINK "mailto:jacksr3@mcmaster.ca" </w:instrText>
      </w:r>
      <w:r w:rsidR="0040206C">
        <w:rPr>
          <w:rFonts w:ascii="Arial" w:hAnsi="Arial" w:cs="Arial"/>
          <w:sz w:val="24"/>
          <w:szCs w:val="24"/>
        </w:rPr>
        <w:fldChar w:fldCharType="separate"/>
      </w:r>
      <w:r w:rsidR="0040206C" w:rsidRPr="00484A0C">
        <w:rPr>
          <w:rStyle w:val="Hyperlink"/>
          <w:rFonts w:ascii="Arial" w:hAnsi="Arial" w:cs="Arial"/>
          <w:sz w:val="24"/>
          <w:szCs w:val="24"/>
        </w:rPr>
        <w:t>jacksr3@mcmaster.ca</w:t>
      </w:r>
      <w:r w:rsidR="0040206C">
        <w:rPr>
          <w:rFonts w:ascii="Arial" w:hAnsi="Arial" w:cs="Arial"/>
          <w:sz w:val="24"/>
          <w:szCs w:val="24"/>
        </w:rPr>
        <w:fldChar w:fldCharType="end"/>
      </w:r>
    </w:p>
    <w:p w14:paraId="4AFEF55B" w14:textId="03263E32" w:rsidR="0040206C" w:rsidRPr="003F0E2E" w:rsidRDefault="0040206C" w:rsidP="0040206C">
      <w:pPr>
        <w:pStyle w:val="ListParagraph"/>
        <w:numPr>
          <w:ilvl w:val="0"/>
          <w:numId w:val="22"/>
        </w:numPr>
        <w:rPr>
          <w:rFonts w:ascii="Arial" w:hAnsi="Arial" w:cs="Arial"/>
          <w:sz w:val="24"/>
          <w:szCs w:val="24"/>
        </w:rPr>
      </w:pPr>
      <w:r>
        <w:rPr>
          <w:rFonts w:ascii="Arial" w:hAnsi="Arial" w:cs="Arial"/>
          <w:sz w:val="24"/>
          <w:szCs w:val="24"/>
        </w:rPr>
        <w:t>Location: LRW 1055</w:t>
      </w:r>
    </w:p>
    <w:p w14:paraId="1434DBED" w14:textId="05A5302B" w:rsidR="005F68BC" w:rsidRDefault="006F4CDE" w:rsidP="003F0E2E">
      <w:pPr>
        <w:pStyle w:val="Heading1"/>
        <w:rPr>
          <w:noProof/>
        </w:rPr>
      </w:pPr>
      <w:bookmarkStart w:id="6" w:name="_Toc12350798"/>
      <w:bookmarkStart w:id="7" w:name="_Toc12438428"/>
      <w:bookmarkStart w:id="8" w:name="_Toc12437232"/>
      <w:r w:rsidRPr="000A6633">
        <w:t>Table of Contents</w:t>
      </w:r>
      <w:bookmarkStart w:id="9" w:name="_Toc12350799"/>
      <w:bookmarkEnd w:id="6"/>
      <w:bookmarkEnd w:id="7"/>
      <w:r w:rsidR="004B7060">
        <w:rPr>
          <w:rFonts w:eastAsia="Times New Roman"/>
          <w:color w:val="auto"/>
        </w:rPr>
        <w:fldChar w:fldCharType="begin"/>
      </w:r>
      <w:r w:rsidR="004B7060">
        <w:rPr>
          <w:rFonts w:eastAsia="Times New Roman"/>
          <w:color w:val="auto"/>
        </w:rPr>
        <w:instrText xml:space="preserve"> TOC \o "1-1" \h \z \u </w:instrText>
      </w:r>
      <w:r w:rsidR="004B7060">
        <w:rPr>
          <w:rFonts w:eastAsia="Times New Roman"/>
          <w:color w:val="auto"/>
        </w:rPr>
        <w:fldChar w:fldCharType="separate"/>
      </w:r>
    </w:p>
    <w:p w14:paraId="4AE5BDA8" w14:textId="6FCB6CE9" w:rsidR="005F68BC" w:rsidRDefault="00EE78F6">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29" w:history="1">
        <w:r w:rsidR="005F68BC" w:rsidRPr="001A42DB">
          <w:rPr>
            <w:rStyle w:val="Hyperlink"/>
            <w:rFonts w:ascii="Calibri" w:hAnsi="Calibri" w:cs="Calibri"/>
            <w:noProof/>
          </w:rPr>
          <w:t>Course Overview</w:t>
        </w:r>
        <w:r w:rsidR="005F68BC">
          <w:rPr>
            <w:noProof/>
            <w:webHidden/>
          </w:rPr>
          <w:tab/>
        </w:r>
        <w:r w:rsidR="005F68BC">
          <w:rPr>
            <w:noProof/>
            <w:webHidden/>
          </w:rPr>
          <w:fldChar w:fldCharType="begin"/>
        </w:r>
        <w:r w:rsidR="005F68BC">
          <w:rPr>
            <w:noProof/>
            <w:webHidden/>
          </w:rPr>
          <w:instrText xml:space="preserve"> PAGEREF _Toc12438429 \h </w:instrText>
        </w:r>
        <w:r w:rsidR="005F68BC">
          <w:rPr>
            <w:noProof/>
            <w:webHidden/>
          </w:rPr>
        </w:r>
        <w:r w:rsidR="005F68BC">
          <w:rPr>
            <w:noProof/>
            <w:webHidden/>
          </w:rPr>
          <w:fldChar w:fldCharType="separate"/>
        </w:r>
        <w:r w:rsidR="0081713C">
          <w:rPr>
            <w:noProof/>
            <w:webHidden/>
          </w:rPr>
          <w:t>1</w:t>
        </w:r>
        <w:r w:rsidR="005F68BC">
          <w:rPr>
            <w:noProof/>
            <w:webHidden/>
          </w:rPr>
          <w:fldChar w:fldCharType="end"/>
        </w:r>
      </w:hyperlink>
    </w:p>
    <w:p w14:paraId="6AA9B676" w14:textId="21328B1A" w:rsidR="005F68BC" w:rsidRDefault="00EE78F6">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0" w:history="1">
        <w:r w:rsidR="005F68BC" w:rsidRPr="001A42DB">
          <w:rPr>
            <w:rStyle w:val="Hyperlink"/>
            <w:rFonts w:ascii="Calibri" w:hAnsi="Calibri" w:cs="Calibri"/>
            <w:noProof/>
          </w:rPr>
          <w:t>Course Requirements/Assignments</w:t>
        </w:r>
        <w:r w:rsidR="005F68BC">
          <w:rPr>
            <w:noProof/>
            <w:webHidden/>
          </w:rPr>
          <w:tab/>
        </w:r>
        <w:r w:rsidR="005F68BC">
          <w:rPr>
            <w:noProof/>
            <w:webHidden/>
          </w:rPr>
          <w:fldChar w:fldCharType="begin"/>
        </w:r>
        <w:r w:rsidR="005F68BC">
          <w:rPr>
            <w:noProof/>
            <w:webHidden/>
          </w:rPr>
          <w:instrText xml:space="preserve"> PAGEREF _Toc12438430 \h </w:instrText>
        </w:r>
        <w:r w:rsidR="005F68BC">
          <w:rPr>
            <w:noProof/>
            <w:webHidden/>
          </w:rPr>
        </w:r>
        <w:r w:rsidR="005F68BC">
          <w:rPr>
            <w:noProof/>
            <w:webHidden/>
          </w:rPr>
          <w:fldChar w:fldCharType="separate"/>
        </w:r>
        <w:r w:rsidR="0081713C">
          <w:rPr>
            <w:noProof/>
            <w:webHidden/>
          </w:rPr>
          <w:t>2</w:t>
        </w:r>
        <w:r w:rsidR="005F68BC">
          <w:rPr>
            <w:noProof/>
            <w:webHidden/>
          </w:rPr>
          <w:fldChar w:fldCharType="end"/>
        </w:r>
      </w:hyperlink>
    </w:p>
    <w:p w14:paraId="0BC9C44E" w14:textId="7FC48B7E" w:rsidR="005F68BC" w:rsidRDefault="00EE78F6">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1" w:history="1">
        <w:r w:rsidR="005F68BC" w:rsidRPr="001A42DB">
          <w:rPr>
            <w:rStyle w:val="Hyperlink"/>
            <w:rFonts w:ascii="Calibri" w:hAnsi="Calibri" w:cs="Calibri"/>
            <w:noProof/>
            <w:lang w:val="en-GB"/>
          </w:rPr>
          <w:t>Assignment Submission and Grading</w:t>
        </w:r>
        <w:r w:rsidR="005F68BC">
          <w:rPr>
            <w:noProof/>
            <w:webHidden/>
          </w:rPr>
          <w:tab/>
        </w:r>
        <w:r w:rsidR="005F68BC">
          <w:rPr>
            <w:noProof/>
            <w:webHidden/>
          </w:rPr>
          <w:fldChar w:fldCharType="begin"/>
        </w:r>
        <w:r w:rsidR="005F68BC">
          <w:rPr>
            <w:noProof/>
            <w:webHidden/>
          </w:rPr>
          <w:instrText xml:space="preserve"> PAGEREF _Toc12438431 \h </w:instrText>
        </w:r>
        <w:r w:rsidR="005F68BC">
          <w:rPr>
            <w:noProof/>
            <w:webHidden/>
          </w:rPr>
        </w:r>
        <w:r w:rsidR="005F68BC">
          <w:rPr>
            <w:noProof/>
            <w:webHidden/>
          </w:rPr>
          <w:fldChar w:fldCharType="separate"/>
        </w:r>
        <w:r w:rsidR="0081713C">
          <w:rPr>
            <w:noProof/>
            <w:webHidden/>
          </w:rPr>
          <w:t>4</w:t>
        </w:r>
        <w:r w:rsidR="005F68BC">
          <w:rPr>
            <w:noProof/>
            <w:webHidden/>
          </w:rPr>
          <w:fldChar w:fldCharType="end"/>
        </w:r>
      </w:hyperlink>
    </w:p>
    <w:p w14:paraId="567CAC57" w14:textId="53EBF3AB" w:rsidR="005F68BC" w:rsidRDefault="00EE78F6">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2" w:history="1">
        <w:r w:rsidR="005F68BC" w:rsidRPr="001A42DB">
          <w:rPr>
            <w:rStyle w:val="Hyperlink"/>
            <w:rFonts w:ascii="Calibri" w:hAnsi="Calibri" w:cs="Calibri"/>
            <w:noProof/>
          </w:rPr>
          <w:t>Student Responsibilities</w:t>
        </w:r>
        <w:r w:rsidR="005F68BC">
          <w:rPr>
            <w:noProof/>
            <w:webHidden/>
          </w:rPr>
          <w:tab/>
        </w:r>
        <w:r w:rsidR="005F68BC">
          <w:rPr>
            <w:noProof/>
            <w:webHidden/>
          </w:rPr>
          <w:fldChar w:fldCharType="begin"/>
        </w:r>
        <w:r w:rsidR="005F68BC">
          <w:rPr>
            <w:noProof/>
            <w:webHidden/>
          </w:rPr>
          <w:instrText xml:space="preserve"> PAGEREF _Toc12438432 \h </w:instrText>
        </w:r>
        <w:r w:rsidR="005F68BC">
          <w:rPr>
            <w:noProof/>
            <w:webHidden/>
          </w:rPr>
        </w:r>
        <w:r w:rsidR="005F68BC">
          <w:rPr>
            <w:noProof/>
            <w:webHidden/>
          </w:rPr>
          <w:fldChar w:fldCharType="separate"/>
        </w:r>
        <w:r w:rsidR="0081713C">
          <w:rPr>
            <w:noProof/>
            <w:webHidden/>
          </w:rPr>
          <w:t>6</w:t>
        </w:r>
        <w:r w:rsidR="005F68BC">
          <w:rPr>
            <w:noProof/>
            <w:webHidden/>
          </w:rPr>
          <w:fldChar w:fldCharType="end"/>
        </w:r>
      </w:hyperlink>
    </w:p>
    <w:p w14:paraId="07EC74CE" w14:textId="15C6E122" w:rsidR="005F68BC" w:rsidRDefault="00EE78F6">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3" w:history="1">
        <w:r w:rsidR="005F68BC" w:rsidRPr="001A42DB">
          <w:rPr>
            <w:rStyle w:val="Hyperlink"/>
            <w:noProof/>
          </w:rPr>
          <w:t>Course Weekly Topics and Readings</w:t>
        </w:r>
        <w:r w:rsidR="005F68BC">
          <w:rPr>
            <w:noProof/>
            <w:webHidden/>
          </w:rPr>
          <w:tab/>
        </w:r>
        <w:r w:rsidR="005F68BC">
          <w:rPr>
            <w:noProof/>
            <w:webHidden/>
          </w:rPr>
          <w:fldChar w:fldCharType="begin"/>
        </w:r>
        <w:r w:rsidR="005F68BC">
          <w:rPr>
            <w:noProof/>
            <w:webHidden/>
          </w:rPr>
          <w:instrText xml:space="preserve"> PAGEREF _Toc12438433 \h </w:instrText>
        </w:r>
        <w:r w:rsidR="005F68BC">
          <w:rPr>
            <w:noProof/>
            <w:webHidden/>
          </w:rPr>
        </w:r>
        <w:r w:rsidR="005F68BC">
          <w:rPr>
            <w:noProof/>
            <w:webHidden/>
          </w:rPr>
          <w:fldChar w:fldCharType="separate"/>
        </w:r>
        <w:r w:rsidR="0081713C">
          <w:rPr>
            <w:noProof/>
            <w:webHidden/>
          </w:rPr>
          <w:t>8</w:t>
        </w:r>
        <w:r w:rsidR="005F68BC">
          <w:rPr>
            <w:noProof/>
            <w:webHidden/>
          </w:rPr>
          <w:fldChar w:fldCharType="end"/>
        </w:r>
      </w:hyperlink>
    </w:p>
    <w:p w14:paraId="1549A53B" w14:textId="77777777" w:rsidR="00B87E74" w:rsidRPr="000A6633" w:rsidRDefault="004B7060" w:rsidP="003F0E2E">
      <w:pPr>
        <w:pStyle w:val="Heading1"/>
      </w:pPr>
      <w:r>
        <w:rPr>
          <w:rFonts w:eastAsia="Times New Roman"/>
          <w:color w:val="auto"/>
          <w:sz w:val="24"/>
          <w:szCs w:val="24"/>
        </w:rPr>
        <w:fldChar w:fldCharType="end"/>
      </w:r>
      <w:bookmarkStart w:id="10" w:name="_Toc12438429"/>
      <w:r w:rsidR="00B87E74" w:rsidRPr="000A6633">
        <w:t>Course Overview</w:t>
      </w:r>
      <w:bookmarkEnd w:id="8"/>
      <w:bookmarkEnd w:id="9"/>
      <w:bookmarkEnd w:id="10"/>
    </w:p>
    <w:p w14:paraId="45548A38" w14:textId="77777777" w:rsidR="007F0D43" w:rsidRPr="000A6633" w:rsidRDefault="003F60FC" w:rsidP="008B718A">
      <w:pPr>
        <w:pStyle w:val="Heading2"/>
      </w:pPr>
      <w:bookmarkStart w:id="11" w:name="_Toc12350800"/>
      <w:r w:rsidRPr="000A6633">
        <w:t>Course Description:</w:t>
      </w:r>
      <w:bookmarkEnd w:id="11"/>
    </w:p>
    <w:p w14:paraId="4FE4CCB8" w14:textId="59CE0EBA" w:rsidR="00346842" w:rsidRDefault="00346842" w:rsidP="00346842">
      <w:pPr>
        <w:rPr>
          <w:rFonts w:ascii="Calibri" w:hAnsi="Calibri" w:cs="Arial"/>
          <w:b w:val="0"/>
          <w:szCs w:val="24"/>
          <w:lang w:val="en-CA"/>
        </w:rPr>
      </w:pPr>
      <w:bookmarkStart w:id="12" w:name="_Toc12350801"/>
      <w:r w:rsidRPr="007E6946">
        <w:rPr>
          <w:rFonts w:ascii="Calibri" w:hAnsi="Calibri" w:cs="Arial"/>
          <w:b w:val="0"/>
          <w:szCs w:val="24"/>
          <w:lang w:val="en-CA"/>
        </w:rPr>
        <w:t xml:space="preserve">Social work practice focused on </w:t>
      </w:r>
      <w:r>
        <w:rPr>
          <w:rFonts w:ascii="Calibri" w:hAnsi="Calibri" w:cs="Arial"/>
          <w:b w:val="0"/>
          <w:szCs w:val="24"/>
          <w:lang w:val="en-CA"/>
        </w:rPr>
        <w:t xml:space="preserve">LGBTQ </w:t>
      </w:r>
      <w:r w:rsidRPr="007E6946">
        <w:rPr>
          <w:rFonts w:ascii="Calibri" w:hAnsi="Calibri" w:cs="Arial"/>
          <w:b w:val="0"/>
          <w:szCs w:val="24"/>
          <w:lang w:val="en-CA"/>
        </w:rPr>
        <w:t xml:space="preserve">sexuality often receives intense assessment and intervention and social workers may often find themselves dealing with challenges related a range of issues including heterosexism, sexual abuse, sexual violence, and HIV or other sexually transmitted infections, etc. Social work research focused on sexuality, while growing, often pays little attention to notions of healthy sexuality, positive sexuality, or sexual wellbeing. This course examines ideas about sexual health challenges and healthy sexuality as vital for social workers working with </w:t>
      </w:r>
      <w:r>
        <w:rPr>
          <w:rFonts w:ascii="Calibri" w:hAnsi="Calibri" w:cs="Arial"/>
          <w:b w:val="0"/>
          <w:szCs w:val="24"/>
          <w:lang w:val="en-CA"/>
        </w:rPr>
        <w:t>LGBTQ</w:t>
      </w:r>
      <w:r w:rsidRPr="007E6946">
        <w:rPr>
          <w:rFonts w:ascii="Calibri" w:hAnsi="Calibri" w:cs="Arial"/>
          <w:b w:val="0"/>
          <w:szCs w:val="24"/>
          <w:lang w:val="en-CA"/>
        </w:rPr>
        <w:t xml:space="preserve"> client groups. The course provides examples of such things as sexual development and gender identities/expression (i.e., lesbian, gay, bisexual and transgender), disability</w:t>
      </w:r>
      <w:r>
        <w:rPr>
          <w:rFonts w:ascii="Calibri" w:hAnsi="Calibri" w:cs="Arial"/>
          <w:b w:val="0"/>
          <w:szCs w:val="24"/>
          <w:lang w:val="en-CA"/>
        </w:rPr>
        <w:t xml:space="preserve">, </w:t>
      </w:r>
      <w:r w:rsidRPr="007E6946">
        <w:rPr>
          <w:rFonts w:ascii="Calibri" w:hAnsi="Calibri" w:cs="Arial"/>
          <w:b w:val="0"/>
          <w:szCs w:val="24"/>
          <w:lang w:val="en-CA"/>
        </w:rPr>
        <w:t>HIV</w:t>
      </w:r>
      <w:r>
        <w:rPr>
          <w:rFonts w:ascii="Calibri" w:hAnsi="Calibri" w:cs="Arial"/>
          <w:b w:val="0"/>
          <w:szCs w:val="24"/>
          <w:lang w:val="en-CA"/>
        </w:rPr>
        <w:t>/AIDS</w:t>
      </w:r>
      <w:r w:rsidRPr="007E6946">
        <w:rPr>
          <w:rFonts w:ascii="Calibri" w:hAnsi="Calibri" w:cs="Arial"/>
          <w:b w:val="0"/>
          <w:szCs w:val="24"/>
          <w:lang w:val="en-CA"/>
        </w:rPr>
        <w:t xml:space="preserve">, </w:t>
      </w:r>
      <w:r>
        <w:rPr>
          <w:rFonts w:ascii="Calibri" w:hAnsi="Calibri" w:cs="Arial"/>
          <w:b w:val="0"/>
          <w:szCs w:val="24"/>
          <w:lang w:val="en-CA"/>
        </w:rPr>
        <w:t>aging</w:t>
      </w:r>
      <w:r w:rsidRPr="007E6946">
        <w:rPr>
          <w:rFonts w:ascii="Calibri" w:hAnsi="Calibri" w:cs="Arial"/>
          <w:b w:val="0"/>
          <w:szCs w:val="24"/>
          <w:lang w:val="en-CA"/>
        </w:rPr>
        <w:t xml:space="preserve">, </w:t>
      </w:r>
      <w:r>
        <w:rPr>
          <w:rFonts w:ascii="Calibri" w:hAnsi="Calibri" w:cs="Arial"/>
          <w:b w:val="0"/>
          <w:szCs w:val="24"/>
          <w:lang w:val="en-CA"/>
        </w:rPr>
        <w:t>etc</w:t>
      </w:r>
      <w:r w:rsidRPr="007E6946">
        <w:rPr>
          <w:rFonts w:ascii="Calibri" w:hAnsi="Calibri" w:cs="Arial"/>
          <w:b w:val="0"/>
          <w:szCs w:val="24"/>
          <w:lang w:val="en-CA"/>
        </w:rPr>
        <w:t>. Emphasize is placed on the development of anti-discriminatory or anti-oppressive practices that support health sexual identity</w:t>
      </w:r>
      <w:r>
        <w:rPr>
          <w:rFonts w:ascii="Calibri" w:hAnsi="Calibri" w:cs="Arial"/>
          <w:b w:val="0"/>
          <w:szCs w:val="24"/>
          <w:lang w:val="en-CA"/>
        </w:rPr>
        <w:t xml:space="preserve"> towards informing social work practice.</w:t>
      </w:r>
    </w:p>
    <w:p w14:paraId="6B04DCEE" w14:textId="77777777" w:rsidR="00716392" w:rsidRPr="000A6633" w:rsidRDefault="009C48C6" w:rsidP="008B718A">
      <w:pPr>
        <w:pStyle w:val="Heading2"/>
      </w:pPr>
      <w:r w:rsidRPr="000A6633">
        <w:t>Course Objectives:</w:t>
      </w:r>
      <w:bookmarkEnd w:id="12"/>
      <w:r w:rsidRPr="000A6633">
        <w:t xml:space="preserve">  </w:t>
      </w:r>
    </w:p>
    <w:p w14:paraId="0952570B" w14:textId="3B452328" w:rsidR="00346842" w:rsidRPr="00346842" w:rsidRDefault="00346842" w:rsidP="00346842">
      <w:pPr>
        <w:numPr>
          <w:ilvl w:val="0"/>
          <w:numId w:val="2"/>
        </w:numPr>
        <w:spacing w:line="276" w:lineRule="auto"/>
        <w:contextualSpacing/>
        <w:rPr>
          <w:rFonts w:ascii="Calibri" w:eastAsia="Calibri" w:hAnsi="Calibri" w:cs="Arial"/>
          <w:b w:val="0"/>
          <w:szCs w:val="24"/>
          <w:lang w:val="en-CA"/>
        </w:rPr>
      </w:pPr>
      <w:r w:rsidRPr="00346842">
        <w:rPr>
          <w:rFonts w:ascii="Calibri" w:eastAsia="Calibri" w:hAnsi="Calibri" w:cs="Arial"/>
          <w:b w:val="0"/>
          <w:szCs w:val="24"/>
          <w:lang w:val="en-CA"/>
        </w:rPr>
        <w:t xml:space="preserve">To provide students with exposure to a range of </w:t>
      </w:r>
      <w:r w:rsidR="005A606A">
        <w:rPr>
          <w:rFonts w:ascii="Calibri" w:eastAsia="Calibri" w:hAnsi="Calibri" w:cs="Arial"/>
          <w:b w:val="0"/>
          <w:szCs w:val="24"/>
          <w:lang w:val="en-CA"/>
        </w:rPr>
        <w:t xml:space="preserve">LGBTQ </w:t>
      </w:r>
      <w:r w:rsidRPr="00346842">
        <w:rPr>
          <w:rFonts w:ascii="Calibri" w:eastAsia="Calibri" w:hAnsi="Calibri" w:cs="Arial"/>
          <w:b w:val="0"/>
          <w:szCs w:val="24"/>
          <w:lang w:val="en-CA"/>
        </w:rPr>
        <w:t>sexual health challenges</w:t>
      </w:r>
      <w:r w:rsidR="005A606A">
        <w:rPr>
          <w:rFonts w:ascii="Calibri" w:eastAsia="Calibri" w:hAnsi="Calibri" w:cs="Arial"/>
          <w:b w:val="0"/>
          <w:szCs w:val="24"/>
          <w:lang w:val="en-CA"/>
        </w:rPr>
        <w:t>;</w:t>
      </w:r>
    </w:p>
    <w:p w14:paraId="36E1E45D" w14:textId="494DB1DB" w:rsidR="00346842" w:rsidRPr="00346842" w:rsidRDefault="00346842" w:rsidP="00346842">
      <w:pPr>
        <w:numPr>
          <w:ilvl w:val="0"/>
          <w:numId w:val="2"/>
        </w:numPr>
        <w:spacing w:line="276" w:lineRule="auto"/>
        <w:contextualSpacing/>
        <w:rPr>
          <w:rFonts w:ascii="Calibri" w:eastAsia="Calibri" w:hAnsi="Calibri" w:cs="Arial"/>
          <w:b w:val="0"/>
          <w:szCs w:val="24"/>
          <w:lang w:val="en-CA"/>
        </w:rPr>
      </w:pPr>
      <w:r w:rsidRPr="00346842">
        <w:rPr>
          <w:rFonts w:ascii="Calibri" w:eastAsia="Calibri" w:hAnsi="Calibri" w:cs="Arial"/>
          <w:b w:val="0"/>
          <w:szCs w:val="24"/>
          <w:lang w:val="en-CA"/>
        </w:rPr>
        <w:lastRenderedPageBreak/>
        <w:t>Students will learn to critically analyze sexual health challenges through a resilient or health sexuality framework</w:t>
      </w:r>
      <w:r w:rsidR="005A606A">
        <w:rPr>
          <w:rFonts w:ascii="Calibri" w:eastAsia="Calibri" w:hAnsi="Calibri" w:cs="Arial"/>
          <w:b w:val="0"/>
          <w:szCs w:val="24"/>
          <w:lang w:val="en-CA"/>
        </w:rPr>
        <w:t>; and</w:t>
      </w:r>
    </w:p>
    <w:p w14:paraId="13029370" w14:textId="77777777" w:rsidR="00346842" w:rsidRPr="00346842" w:rsidRDefault="00346842" w:rsidP="00346842">
      <w:pPr>
        <w:numPr>
          <w:ilvl w:val="0"/>
          <w:numId w:val="2"/>
        </w:numPr>
        <w:spacing w:line="276" w:lineRule="auto"/>
        <w:contextualSpacing/>
        <w:rPr>
          <w:rFonts w:ascii="Calibri" w:eastAsia="Calibri" w:hAnsi="Calibri" w:cs="Arial"/>
          <w:b w:val="0"/>
          <w:szCs w:val="24"/>
          <w:lang w:val="en-CA"/>
        </w:rPr>
      </w:pPr>
      <w:r w:rsidRPr="00346842">
        <w:rPr>
          <w:rFonts w:ascii="Calibri" w:eastAsia="Calibri" w:hAnsi="Calibri" w:cs="Arial"/>
          <w:b w:val="0"/>
          <w:szCs w:val="24"/>
          <w:lang w:val="en-CA"/>
        </w:rPr>
        <w:t>Student will have developed an understanding and will be able to reflect on ways to address sexual health challenges through strengthen practice approaches.</w:t>
      </w:r>
    </w:p>
    <w:p w14:paraId="2850F612" w14:textId="77777777" w:rsidR="0040206C" w:rsidRPr="00346842" w:rsidRDefault="0040206C" w:rsidP="003F60FC">
      <w:pPr>
        <w:pStyle w:val="Default"/>
        <w:rPr>
          <w:rFonts w:ascii="Calibri" w:hAnsi="Calibri" w:cs="Calibri"/>
          <w:lang w:val="en-CA"/>
        </w:rPr>
      </w:pPr>
    </w:p>
    <w:p w14:paraId="52F70973" w14:textId="44FCD39A" w:rsidR="003F60FC" w:rsidRDefault="003F60FC" w:rsidP="003F60FC">
      <w:pPr>
        <w:pStyle w:val="Default"/>
        <w:rPr>
          <w:rFonts w:ascii="Calibri" w:hAnsi="Calibri" w:cs="Calibri"/>
        </w:rPr>
      </w:pPr>
      <w:r w:rsidRPr="000A6633">
        <w:rPr>
          <w:rFonts w:ascii="Calibri" w:hAnsi="Calibri" w:cs="Calibri"/>
        </w:rPr>
        <w:t xml:space="preserve">The basic assumptions of this course concur with the broader curriculum context set by the </w:t>
      </w:r>
      <w:r w:rsidRPr="000A6633">
        <w:rPr>
          <w:rFonts w:ascii="Calibri" w:hAnsi="Calibri" w:cs="Calibri"/>
          <w:b/>
          <w:bCs/>
        </w:rPr>
        <w:t>School of Social Work's Statement of Philosophy</w:t>
      </w:r>
      <w:r w:rsidRPr="000A6633">
        <w:rPr>
          <w:rFonts w:ascii="Calibri" w:hAnsi="Calibri" w:cs="Calibri"/>
        </w:rPr>
        <w:t>:</w:t>
      </w:r>
    </w:p>
    <w:p w14:paraId="324E843A" w14:textId="77777777" w:rsidR="0040206C" w:rsidRPr="000A6633" w:rsidRDefault="0040206C" w:rsidP="003F60FC">
      <w:pPr>
        <w:pStyle w:val="Default"/>
        <w:rPr>
          <w:rFonts w:ascii="Calibri" w:hAnsi="Calibri" w:cs="Calibri"/>
        </w:rPr>
      </w:pPr>
    </w:p>
    <w:p w14:paraId="6A326FAB" w14:textId="77777777" w:rsidR="00B87E74" w:rsidRPr="004B7060" w:rsidRDefault="003F60FC" w:rsidP="00B87E74">
      <w:pPr>
        <w:rPr>
          <w:rFonts w:ascii="Calibri" w:hAnsi="Calibri" w:cs="Calibri"/>
          <w:b w:val="0"/>
          <w:i/>
          <w:iCs/>
          <w:szCs w:val="24"/>
        </w:rPr>
      </w:pPr>
      <w:r w:rsidRPr="000A6633">
        <w:rPr>
          <w:rFonts w:ascii="Calibri" w:hAnsi="Calibri" w:cs="Calibri"/>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BF2ECBB" w14:textId="77777777" w:rsidR="00B87E74" w:rsidRPr="000A6633" w:rsidRDefault="00B87E74" w:rsidP="008B718A">
      <w:pPr>
        <w:pStyle w:val="Heading2"/>
      </w:pPr>
      <w:bookmarkStart w:id="13" w:name="_Toc12350802"/>
      <w:r w:rsidRPr="000A6633">
        <w:t>Course Format</w:t>
      </w:r>
      <w:bookmarkEnd w:id="13"/>
    </w:p>
    <w:p w14:paraId="1517AB26" w14:textId="7EE22E64" w:rsidR="00346842" w:rsidRPr="007E6946" w:rsidRDefault="00346842" w:rsidP="00346842">
      <w:pPr>
        <w:rPr>
          <w:rFonts w:ascii="Calibri" w:eastAsia="Calibri" w:hAnsi="Calibri"/>
          <w:b w:val="0"/>
          <w:szCs w:val="24"/>
        </w:rPr>
      </w:pPr>
      <w:bookmarkStart w:id="14" w:name="_Toc12350803"/>
      <w:r w:rsidRPr="007E6946">
        <w:rPr>
          <w:rFonts w:ascii="Calibri" w:eastAsia="Calibri" w:hAnsi="Calibri"/>
          <w:b w:val="0"/>
          <w:szCs w:val="24"/>
        </w:rPr>
        <w:t xml:space="preserve">This course will draw in a variety of methods to teach course content—approximately one-third of the class time </w:t>
      </w:r>
      <w:r w:rsidR="001A451C">
        <w:rPr>
          <w:rFonts w:ascii="Calibri" w:eastAsia="Calibri" w:hAnsi="Calibri"/>
          <w:b w:val="0"/>
          <w:szCs w:val="24"/>
        </w:rPr>
        <w:t xml:space="preserve">will be </w:t>
      </w:r>
      <w:r w:rsidRPr="007E6946">
        <w:rPr>
          <w:rFonts w:ascii="Calibri" w:eastAsia="Calibri" w:hAnsi="Calibri"/>
          <w:b w:val="0"/>
          <w:szCs w:val="24"/>
        </w:rPr>
        <w:t>devoted to lecture-discussion format, to guest lecturers and documentary films to teach about health sexuality, positive sexuality, or sexual well-being. Students will also work in groups where collaborative work will focus on researching and developing a short presentation focused on a topic of interest as they relate to learning objectives.</w:t>
      </w:r>
    </w:p>
    <w:p w14:paraId="562951FD" w14:textId="77777777" w:rsidR="00B87E74" w:rsidRPr="000A6633" w:rsidRDefault="00B87E74" w:rsidP="008B718A">
      <w:pPr>
        <w:pStyle w:val="Heading2"/>
      </w:pPr>
      <w:r w:rsidRPr="000A6633">
        <w:t>Required Texts:</w:t>
      </w:r>
      <w:bookmarkEnd w:id="14"/>
      <w:r w:rsidRPr="000A6633">
        <w:t xml:space="preserve">  </w:t>
      </w:r>
    </w:p>
    <w:p w14:paraId="1B3D2DC3" w14:textId="3D1CF446" w:rsidR="00B87E74" w:rsidRPr="007A55AC" w:rsidRDefault="007A55AC" w:rsidP="007A55AC">
      <w:pPr>
        <w:numPr>
          <w:ilvl w:val="0"/>
          <w:numId w:val="1"/>
        </w:numPr>
        <w:rPr>
          <w:rFonts w:ascii="Calibri" w:eastAsia="Calibri" w:hAnsi="Calibri" w:cs="Calibri"/>
          <w:b w:val="0"/>
          <w:bCs/>
          <w:szCs w:val="24"/>
          <w:lang w:val="en-CA" w:eastAsia="en-CA"/>
        </w:rPr>
      </w:pPr>
      <w:r w:rsidRPr="007A55AC">
        <w:rPr>
          <w:rFonts w:ascii="Calibri" w:hAnsi="Calibri" w:cs="Calibri"/>
          <w:b w:val="0"/>
          <w:szCs w:val="24"/>
        </w:rPr>
        <w:t xml:space="preserve">O’Neill, B., Swan, T., &amp; Mulé, N. (Eds, 2015). </w:t>
      </w:r>
      <w:r w:rsidR="0022331F" w:rsidRPr="007A55AC">
        <w:rPr>
          <w:rFonts w:ascii="Calibri" w:hAnsi="Calibri" w:cs="Calibri"/>
          <w:b w:val="0"/>
          <w:szCs w:val="24"/>
        </w:rPr>
        <w:t>LGBTQ People and Social Work</w:t>
      </w:r>
      <w:r>
        <w:rPr>
          <w:rFonts w:ascii="Calibri" w:hAnsi="Calibri" w:cs="Calibri"/>
          <w:b w:val="0"/>
          <w:szCs w:val="24"/>
        </w:rPr>
        <w:t>. Toronto, Ontario: Canadian Scholars’ Press.</w:t>
      </w:r>
    </w:p>
    <w:p w14:paraId="15114EFC" w14:textId="77777777" w:rsidR="001F3D7B" w:rsidRPr="004B7060" w:rsidRDefault="001F3D7B" w:rsidP="008B718A">
      <w:pPr>
        <w:pStyle w:val="Heading2"/>
      </w:pPr>
      <w:bookmarkStart w:id="15" w:name="_Toc12350804"/>
      <w:r w:rsidRPr="000A6633">
        <w:t>Additional Suggested Readings</w:t>
      </w:r>
      <w:bookmarkEnd w:id="15"/>
    </w:p>
    <w:p w14:paraId="25E5FDD1" w14:textId="77777777" w:rsidR="0040206C" w:rsidRPr="0040206C" w:rsidRDefault="0040206C" w:rsidP="005E0320">
      <w:pPr>
        <w:numPr>
          <w:ilvl w:val="0"/>
          <w:numId w:val="9"/>
        </w:numPr>
        <w:spacing w:before="240" w:after="240"/>
        <w:rPr>
          <w:rFonts w:ascii="Calibri" w:eastAsia="Calibri" w:hAnsi="Calibri" w:cs="Calibri"/>
          <w:b w:val="0"/>
          <w:bCs/>
          <w:szCs w:val="24"/>
          <w:lang w:val="en-CA" w:eastAsia="en-CA"/>
        </w:rPr>
      </w:pPr>
      <w:r w:rsidRPr="007E6946">
        <w:rPr>
          <w:rFonts w:ascii="Calibri" w:hAnsi="Calibri" w:cs="Arial"/>
          <w:b w:val="0"/>
          <w:szCs w:val="24"/>
        </w:rPr>
        <w:t xml:space="preserve">Bywater, J. &amp; Jones, R. (2007). Sexuality and Social Work: Transforming Social Work Practice. Exeter, UK: Learning Matters, Ltd. </w:t>
      </w:r>
    </w:p>
    <w:p w14:paraId="54E24857" w14:textId="77777777" w:rsidR="00B87E74" w:rsidRPr="000A6633" w:rsidRDefault="00B87E74" w:rsidP="003F0E2E">
      <w:pPr>
        <w:pStyle w:val="Heading1"/>
      </w:pPr>
      <w:bookmarkStart w:id="16" w:name="_Toc12350805"/>
      <w:bookmarkStart w:id="17" w:name="_Toc12438430"/>
      <w:r w:rsidRPr="000A6633">
        <w:t>Course Requirements</w:t>
      </w:r>
      <w:r w:rsidR="001F3D7B" w:rsidRPr="000A6633">
        <w:t>/Assignments</w:t>
      </w:r>
      <w:bookmarkEnd w:id="16"/>
      <w:bookmarkEnd w:id="17"/>
    </w:p>
    <w:p w14:paraId="07FE0381" w14:textId="77777777" w:rsidR="00B87E74" w:rsidRPr="000A6633" w:rsidRDefault="001C4731" w:rsidP="008B718A">
      <w:pPr>
        <w:pStyle w:val="Heading2"/>
      </w:pPr>
      <w:bookmarkStart w:id="18" w:name="_Toc12350806"/>
      <w:r w:rsidRPr="000A6633">
        <w:t>Requirements</w:t>
      </w:r>
      <w:r w:rsidR="00B87E74" w:rsidRPr="000A6633">
        <w:t xml:space="preserve"> Overview and Deadlines</w:t>
      </w:r>
      <w:bookmarkEnd w:id="18"/>
    </w:p>
    <w:p w14:paraId="5699B5B9" w14:textId="23A2CE34" w:rsidR="00826674" w:rsidRDefault="006E6404" w:rsidP="005438F5">
      <w:pPr>
        <w:pStyle w:val="ListParagraph"/>
        <w:numPr>
          <w:ilvl w:val="0"/>
          <w:numId w:val="5"/>
        </w:numPr>
        <w:rPr>
          <w:rFonts w:cs="Calibri"/>
          <w:b w:val="0"/>
          <w:sz w:val="24"/>
          <w:szCs w:val="24"/>
        </w:rPr>
      </w:pPr>
      <w:r>
        <w:rPr>
          <w:rFonts w:cs="Calibri"/>
          <w:b w:val="0"/>
          <w:sz w:val="24"/>
          <w:szCs w:val="24"/>
        </w:rPr>
        <w:t>Final Term Paper Outline; due February 11, 2020; 20%</w:t>
      </w:r>
    </w:p>
    <w:p w14:paraId="36D933CC" w14:textId="2C5F95F5" w:rsidR="00B87E74" w:rsidRDefault="00511A25" w:rsidP="005438F5">
      <w:pPr>
        <w:pStyle w:val="ListParagraph"/>
        <w:numPr>
          <w:ilvl w:val="0"/>
          <w:numId w:val="5"/>
        </w:numPr>
        <w:rPr>
          <w:rFonts w:cs="Calibri"/>
          <w:b w:val="0"/>
          <w:sz w:val="24"/>
          <w:szCs w:val="24"/>
        </w:rPr>
      </w:pPr>
      <w:r>
        <w:rPr>
          <w:rFonts w:cs="Calibri"/>
          <w:b w:val="0"/>
          <w:sz w:val="24"/>
          <w:szCs w:val="24"/>
        </w:rPr>
        <w:t>Student Group Presentations; February 25, March 3; March 10, March 17, March 24, and March 31, 2020</w:t>
      </w:r>
      <w:r w:rsidR="0054771E">
        <w:rPr>
          <w:rFonts w:cs="Calibri"/>
          <w:b w:val="0"/>
          <w:sz w:val="24"/>
          <w:szCs w:val="24"/>
        </w:rPr>
        <w:t xml:space="preserve"> (sign-up required</w:t>
      </w:r>
      <w:r w:rsidR="001A451C">
        <w:rPr>
          <w:rFonts w:cs="Calibri"/>
          <w:b w:val="0"/>
          <w:sz w:val="24"/>
          <w:szCs w:val="24"/>
        </w:rPr>
        <w:t>; details provided in class</w:t>
      </w:r>
      <w:r w:rsidR="0054771E">
        <w:rPr>
          <w:rFonts w:cs="Calibri"/>
          <w:b w:val="0"/>
          <w:sz w:val="24"/>
          <w:szCs w:val="24"/>
        </w:rPr>
        <w:t>)</w:t>
      </w:r>
      <w:r w:rsidR="006E6404">
        <w:rPr>
          <w:rFonts w:cs="Calibri"/>
          <w:b w:val="0"/>
          <w:sz w:val="24"/>
          <w:szCs w:val="24"/>
        </w:rPr>
        <w:t xml:space="preserve">; </w:t>
      </w:r>
      <w:r w:rsidR="001A451C">
        <w:rPr>
          <w:rFonts w:cs="Calibri"/>
          <w:b w:val="0"/>
          <w:sz w:val="24"/>
          <w:szCs w:val="24"/>
        </w:rPr>
        <w:t>30</w:t>
      </w:r>
      <w:r w:rsidR="006E6404">
        <w:rPr>
          <w:rFonts w:cs="Calibri"/>
          <w:b w:val="0"/>
          <w:sz w:val="24"/>
          <w:szCs w:val="24"/>
        </w:rPr>
        <w:t>%</w:t>
      </w:r>
    </w:p>
    <w:p w14:paraId="45A4DAF9" w14:textId="6E64CD08" w:rsidR="00B87E74" w:rsidRPr="000A6633" w:rsidRDefault="00511A25" w:rsidP="005438F5">
      <w:pPr>
        <w:pStyle w:val="ListParagraph"/>
        <w:numPr>
          <w:ilvl w:val="0"/>
          <w:numId w:val="5"/>
        </w:numPr>
        <w:spacing w:after="0"/>
        <w:rPr>
          <w:rFonts w:cs="Calibri"/>
          <w:b w:val="0"/>
          <w:sz w:val="24"/>
          <w:szCs w:val="24"/>
        </w:rPr>
      </w:pPr>
      <w:r>
        <w:rPr>
          <w:rFonts w:cs="Calibri"/>
          <w:b w:val="0"/>
          <w:sz w:val="24"/>
          <w:szCs w:val="24"/>
        </w:rPr>
        <w:t>Participation Reflection; due March 31, 2020</w:t>
      </w:r>
      <w:r w:rsidR="006E6404">
        <w:rPr>
          <w:rFonts w:cs="Calibri"/>
          <w:b w:val="0"/>
          <w:sz w:val="24"/>
          <w:szCs w:val="24"/>
        </w:rPr>
        <w:t>; 15%</w:t>
      </w:r>
    </w:p>
    <w:p w14:paraId="60714F55" w14:textId="67110500" w:rsidR="00B87E74" w:rsidRPr="000A6633" w:rsidRDefault="00511A25" w:rsidP="005438F5">
      <w:pPr>
        <w:pStyle w:val="ListParagraph"/>
        <w:numPr>
          <w:ilvl w:val="0"/>
          <w:numId w:val="5"/>
        </w:numPr>
        <w:spacing w:after="0"/>
        <w:rPr>
          <w:rFonts w:cs="Calibri"/>
          <w:b w:val="0"/>
          <w:sz w:val="24"/>
          <w:szCs w:val="24"/>
        </w:rPr>
      </w:pPr>
      <w:r>
        <w:rPr>
          <w:rFonts w:cs="Calibri"/>
          <w:b w:val="0"/>
          <w:sz w:val="24"/>
          <w:szCs w:val="24"/>
        </w:rPr>
        <w:t>Final Term Paper; due April 7, 2020</w:t>
      </w:r>
      <w:r w:rsidR="006E6404">
        <w:rPr>
          <w:rFonts w:cs="Calibri"/>
          <w:b w:val="0"/>
          <w:sz w:val="24"/>
          <w:szCs w:val="24"/>
        </w:rPr>
        <w:t xml:space="preserve">; </w:t>
      </w:r>
      <w:r w:rsidR="001A451C">
        <w:rPr>
          <w:rFonts w:cs="Calibri"/>
          <w:b w:val="0"/>
          <w:sz w:val="24"/>
          <w:szCs w:val="24"/>
        </w:rPr>
        <w:t>35</w:t>
      </w:r>
      <w:r w:rsidR="006E6404">
        <w:rPr>
          <w:rFonts w:cs="Calibri"/>
          <w:b w:val="0"/>
          <w:sz w:val="24"/>
          <w:szCs w:val="24"/>
        </w:rPr>
        <w:t>%</w:t>
      </w:r>
    </w:p>
    <w:p w14:paraId="75FD57A7" w14:textId="77777777" w:rsidR="00B87E74" w:rsidRPr="000A6633" w:rsidRDefault="001C4731" w:rsidP="008B718A">
      <w:pPr>
        <w:pStyle w:val="Heading2"/>
      </w:pPr>
      <w:bookmarkStart w:id="19" w:name="_Toc12350807"/>
      <w:r w:rsidRPr="000A6633">
        <w:lastRenderedPageBreak/>
        <w:t>Requirement</w:t>
      </w:r>
      <w:r w:rsidR="001F3D7B" w:rsidRPr="000A6633">
        <w:t>/Assignment</w:t>
      </w:r>
      <w:r w:rsidRPr="000A6633">
        <w:t xml:space="preserve"> Details</w:t>
      </w:r>
      <w:bookmarkEnd w:id="19"/>
    </w:p>
    <w:p w14:paraId="13189177" w14:textId="48B09B88" w:rsidR="001C4731" w:rsidRPr="000A6633" w:rsidRDefault="00826674" w:rsidP="005438F5">
      <w:pPr>
        <w:pStyle w:val="Heading3"/>
        <w:numPr>
          <w:ilvl w:val="0"/>
          <w:numId w:val="13"/>
        </w:numPr>
        <w:rPr>
          <w:rFonts w:ascii="Calibri" w:hAnsi="Calibri" w:cs="Calibri"/>
          <w:b w:val="0"/>
          <w:lang w:val="en-GB"/>
        </w:rPr>
      </w:pPr>
      <w:r w:rsidRPr="00755EC7">
        <w:rPr>
          <w:rFonts w:ascii="Calibri" w:hAnsi="Calibri" w:cs="Calibri"/>
          <w:bCs w:val="0"/>
          <w:lang w:val="en-GB"/>
        </w:rPr>
        <w:t>Final Term Paper Outline</w:t>
      </w:r>
      <w:r w:rsidR="006E6404">
        <w:rPr>
          <w:rFonts w:ascii="Calibri" w:hAnsi="Calibri" w:cs="Calibri"/>
          <w:bCs w:val="0"/>
          <w:lang w:val="en-GB"/>
        </w:rPr>
        <w:t xml:space="preserve"> </w:t>
      </w:r>
      <w:r w:rsidR="006E6404" w:rsidRPr="006E6404">
        <w:rPr>
          <w:rFonts w:ascii="Calibri" w:hAnsi="Calibri" w:cs="Calibri"/>
          <w:b w:val="0"/>
          <w:lang w:val="en-GB"/>
        </w:rPr>
        <w:t>d</w:t>
      </w:r>
      <w:r w:rsidRPr="006E6404">
        <w:rPr>
          <w:rFonts w:ascii="Calibri" w:hAnsi="Calibri" w:cs="Calibri"/>
          <w:b w:val="0"/>
          <w:lang w:val="en-GB"/>
        </w:rPr>
        <w:t>ue</w:t>
      </w:r>
      <w:r>
        <w:rPr>
          <w:rFonts w:ascii="Calibri" w:hAnsi="Calibri" w:cs="Calibri"/>
          <w:b w:val="0"/>
          <w:lang w:val="en-GB"/>
        </w:rPr>
        <w:t xml:space="preserve"> February 11, 2020; 20%</w:t>
      </w:r>
    </w:p>
    <w:p w14:paraId="59056485" w14:textId="77777777" w:rsidR="00826674" w:rsidRPr="006E6404" w:rsidRDefault="00826674" w:rsidP="005438F5">
      <w:pPr>
        <w:numPr>
          <w:ilvl w:val="1"/>
          <w:numId w:val="13"/>
        </w:numPr>
        <w:rPr>
          <w:rFonts w:ascii="Calibri" w:hAnsi="Calibri" w:cs="Calibri"/>
          <w:b w:val="0"/>
          <w:szCs w:val="24"/>
          <w:lang w:val="en-GB"/>
        </w:rPr>
      </w:pPr>
      <w:r w:rsidRPr="006E6404">
        <w:rPr>
          <w:rFonts w:ascii="Calibri" w:hAnsi="Calibri" w:cs="Calibri"/>
          <w:b w:val="0"/>
          <w:szCs w:val="24"/>
          <w:lang w:val="en-GB"/>
        </w:rPr>
        <w:t>All students are expected to submit a written outline of their final term paper that identifies a topic related to sexuality and social work practice. This outline in bullet point form provides an overview of your main argument and is linked to relevant scholarly literature. The final term paper outline will address the following:</w:t>
      </w:r>
    </w:p>
    <w:p w14:paraId="02DC8E43" w14:textId="624A5756" w:rsidR="00826674" w:rsidRPr="006E6404" w:rsidRDefault="00826674" w:rsidP="00826674">
      <w:pPr>
        <w:ind w:left="792"/>
        <w:rPr>
          <w:rFonts w:ascii="Calibri" w:hAnsi="Calibri" w:cs="Calibri"/>
          <w:b w:val="0"/>
          <w:szCs w:val="24"/>
          <w:lang w:val="en-GB"/>
        </w:rPr>
      </w:pPr>
      <w:r w:rsidRPr="006E6404">
        <w:rPr>
          <w:rFonts w:ascii="Calibri" w:hAnsi="Calibri" w:cs="Calibri"/>
          <w:b w:val="0"/>
          <w:szCs w:val="24"/>
          <w:lang w:val="en-GB"/>
        </w:rPr>
        <w:t xml:space="preserve"> </w:t>
      </w:r>
    </w:p>
    <w:p w14:paraId="22015FBC" w14:textId="72C5F456" w:rsidR="00BE36A4" w:rsidRPr="006E6404" w:rsidRDefault="00826674" w:rsidP="00BE36A4">
      <w:pPr>
        <w:pStyle w:val="ListParagraph"/>
        <w:numPr>
          <w:ilvl w:val="0"/>
          <w:numId w:val="26"/>
        </w:numPr>
        <w:rPr>
          <w:rFonts w:cs="Calibri"/>
          <w:b w:val="0"/>
          <w:sz w:val="24"/>
          <w:szCs w:val="24"/>
          <w:lang w:val="en-GB"/>
        </w:rPr>
      </w:pPr>
      <w:bookmarkStart w:id="20" w:name="_Hlk25687376"/>
      <w:r w:rsidRPr="006E6404">
        <w:rPr>
          <w:rFonts w:cs="Calibri"/>
          <w:b w:val="0"/>
          <w:sz w:val="24"/>
          <w:szCs w:val="24"/>
          <w:lang w:val="en-GB"/>
        </w:rPr>
        <w:t>In the introduction, identify a specific challenge that someone might</w:t>
      </w:r>
      <w:r w:rsidR="005C43A2" w:rsidRPr="006E6404">
        <w:rPr>
          <w:rFonts w:cs="Calibri"/>
          <w:b w:val="0"/>
          <w:sz w:val="24"/>
          <w:szCs w:val="24"/>
          <w:lang w:val="en-GB"/>
        </w:rPr>
        <w:t xml:space="preserve"> experience as it</w:t>
      </w:r>
      <w:r w:rsidRPr="006E6404">
        <w:rPr>
          <w:rFonts w:cs="Calibri"/>
          <w:b w:val="0"/>
          <w:sz w:val="24"/>
          <w:szCs w:val="24"/>
          <w:lang w:val="en-GB"/>
        </w:rPr>
        <w:t xml:space="preserve"> relate</w:t>
      </w:r>
      <w:r w:rsidR="005C43A2" w:rsidRPr="006E6404">
        <w:rPr>
          <w:rFonts w:cs="Calibri"/>
          <w:b w:val="0"/>
          <w:sz w:val="24"/>
          <w:szCs w:val="24"/>
          <w:lang w:val="en-GB"/>
        </w:rPr>
        <w:t>s</w:t>
      </w:r>
      <w:r w:rsidRPr="006E6404">
        <w:rPr>
          <w:rFonts w:cs="Calibri"/>
          <w:b w:val="0"/>
          <w:sz w:val="24"/>
          <w:szCs w:val="24"/>
          <w:lang w:val="en-GB"/>
        </w:rPr>
        <w:t xml:space="preserve"> to sexuality</w:t>
      </w:r>
      <w:r w:rsidR="005C43A2" w:rsidRPr="006E6404">
        <w:rPr>
          <w:rFonts w:cs="Calibri"/>
          <w:b w:val="0"/>
          <w:sz w:val="24"/>
          <w:szCs w:val="24"/>
          <w:lang w:val="en-GB"/>
        </w:rPr>
        <w:t xml:space="preserve">; provide a rational or </w:t>
      </w:r>
      <w:r w:rsidRPr="006E6404">
        <w:rPr>
          <w:rFonts w:cs="Calibri"/>
          <w:b w:val="0"/>
          <w:sz w:val="24"/>
          <w:szCs w:val="24"/>
          <w:lang w:val="en-GB"/>
        </w:rPr>
        <w:t>justify w</w:t>
      </w:r>
      <w:r w:rsidR="005C43A2" w:rsidRPr="006E6404">
        <w:rPr>
          <w:rFonts w:cs="Calibri"/>
          <w:b w:val="0"/>
          <w:sz w:val="24"/>
          <w:szCs w:val="24"/>
          <w:lang w:val="en-GB"/>
        </w:rPr>
        <w:t xml:space="preserve">hy a </w:t>
      </w:r>
      <w:r w:rsidRPr="006E6404">
        <w:rPr>
          <w:rFonts w:cs="Calibri"/>
          <w:b w:val="0"/>
          <w:sz w:val="24"/>
          <w:szCs w:val="24"/>
          <w:lang w:val="en-GB"/>
        </w:rPr>
        <w:t>focus on this area</w:t>
      </w:r>
      <w:r w:rsidR="005C43A2" w:rsidRPr="006E6404">
        <w:rPr>
          <w:rFonts w:cs="Calibri"/>
          <w:b w:val="0"/>
          <w:sz w:val="24"/>
          <w:szCs w:val="24"/>
          <w:lang w:val="en-GB"/>
        </w:rPr>
        <w:t xml:space="preserve"> is needed</w:t>
      </w:r>
      <w:r w:rsidRPr="006E6404">
        <w:rPr>
          <w:rFonts w:cs="Calibri"/>
          <w:b w:val="0"/>
          <w:sz w:val="24"/>
          <w:szCs w:val="24"/>
          <w:lang w:val="en-GB"/>
        </w:rPr>
        <w:t xml:space="preserve"> (</w:t>
      </w:r>
      <w:r w:rsidR="001A451C">
        <w:rPr>
          <w:rFonts w:cs="Calibri"/>
          <w:b w:val="0"/>
          <w:sz w:val="24"/>
          <w:szCs w:val="24"/>
          <w:lang w:val="en-GB"/>
        </w:rPr>
        <w:t>3</w:t>
      </w:r>
      <w:r w:rsidRPr="006E6404">
        <w:rPr>
          <w:rFonts w:cs="Calibri"/>
          <w:b w:val="0"/>
          <w:sz w:val="24"/>
          <w:szCs w:val="24"/>
          <w:lang w:val="en-GB"/>
        </w:rPr>
        <w:t>%);</w:t>
      </w:r>
    </w:p>
    <w:p w14:paraId="266EF00F" w14:textId="77777777" w:rsidR="00BE36A4" w:rsidRPr="006E6404" w:rsidRDefault="00826674" w:rsidP="00BE36A4">
      <w:pPr>
        <w:pStyle w:val="ListParagraph"/>
        <w:numPr>
          <w:ilvl w:val="0"/>
          <w:numId w:val="26"/>
        </w:numPr>
        <w:rPr>
          <w:rFonts w:cs="Calibri"/>
          <w:b w:val="0"/>
          <w:sz w:val="24"/>
          <w:szCs w:val="24"/>
          <w:lang w:val="en-GB"/>
        </w:rPr>
      </w:pPr>
      <w:r w:rsidRPr="006E6404">
        <w:rPr>
          <w:rFonts w:cs="Calibri"/>
          <w:b w:val="0"/>
          <w:sz w:val="24"/>
          <w:szCs w:val="24"/>
          <w:lang w:val="en-GB"/>
        </w:rPr>
        <w:t xml:space="preserve">Adequately review the scholarly published literature for your selected topic using as many readings as needed to describe </w:t>
      </w:r>
      <w:r w:rsidR="005C43A2" w:rsidRPr="006E6404">
        <w:rPr>
          <w:rFonts w:cs="Calibri"/>
          <w:b w:val="0"/>
          <w:sz w:val="24"/>
          <w:szCs w:val="24"/>
          <w:lang w:val="en-GB"/>
        </w:rPr>
        <w:t>the specific challenge</w:t>
      </w:r>
      <w:r w:rsidRPr="006E6404">
        <w:rPr>
          <w:rFonts w:cs="Calibri"/>
          <w:b w:val="0"/>
          <w:sz w:val="24"/>
          <w:szCs w:val="24"/>
          <w:lang w:val="en-GB"/>
        </w:rPr>
        <w:t xml:space="preserve"> (5%); </w:t>
      </w:r>
    </w:p>
    <w:p w14:paraId="54442D3E" w14:textId="16480F8F" w:rsidR="00BE36A4" w:rsidRDefault="005C43A2" w:rsidP="00BE36A4">
      <w:pPr>
        <w:pStyle w:val="ListParagraph"/>
        <w:numPr>
          <w:ilvl w:val="0"/>
          <w:numId w:val="26"/>
        </w:numPr>
        <w:rPr>
          <w:rFonts w:cs="Calibri"/>
          <w:b w:val="0"/>
          <w:sz w:val="24"/>
          <w:szCs w:val="24"/>
          <w:lang w:val="en-GB"/>
        </w:rPr>
      </w:pPr>
      <w:r w:rsidRPr="006E6404">
        <w:rPr>
          <w:rFonts w:cs="Calibri"/>
          <w:b w:val="0"/>
          <w:sz w:val="24"/>
          <w:szCs w:val="24"/>
          <w:lang w:val="en-GB"/>
        </w:rPr>
        <w:t>Adequately review the scholarly published literature towards examining implications for social practice (5%)</w:t>
      </w:r>
    </w:p>
    <w:p w14:paraId="6589B0AC" w14:textId="72F78A6A" w:rsidR="001A451C" w:rsidRPr="006E6404" w:rsidRDefault="001A451C" w:rsidP="00BE36A4">
      <w:pPr>
        <w:pStyle w:val="ListParagraph"/>
        <w:numPr>
          <w:ilvl w:val="0"/>
          <w:numId w:val="26"/>
        </w:numPr>
        <w:rPr>
          <w:rFonts w:cs="Calibri"/>
          <w:b w:val="0"/>
          <w:sz w:val="24"/>
          <w:szCs w:val="24"/>
          <w:lang w:val="en-GB"/>
        </w:rPr>
      </w:pPr>
      <w:r>
        <w:rPr>
          <w:rFonts w:cs="Calibri"/>
          <w:b w:val="0"/>
          <w:sz w:val="24"/>
          <w:szCs w:val="24"/>
          <w:lang w:val="en-GB"/>
        </w:rPr>
        <w:t>Provides a conclusion that goes beyond a simple summary of ideas towards critical evaluating the importance of the approach argued in the paper (5%)</w:t>
      </w:r>
    </w:p>
    <w:p w14:paraId="2DA3B0A3" w14:textId="53CAEDD0" w:rsidR="005C43A2" w:rsidRPr="006E6404" w:rsidRDefault="005C43A2" w:rsidP="00BE36A4">
      <w:pPr>
        <w:pStyle w:val="ListParagraph"/>
        <w:numPr>
          <w:ilvl w:val="0"/>
          <w:numId w:val="26"/>
        </w:numPr>
        <w:rPr>
          <w:rFonts w:cs="Calibri"/>
          <w:b w:val="0"/>
          <w:sz w:val="24"/>
          <w:szCs w:val="24"/>
          <w:lang w:val="en-GB"/>
        </w:rPr>
      </w:pPr>
      <w:r w:rsidRPr="006E6404">
        <w:rPr>
          <w:rFonts w:cs="Calibri"/>
          <w:b w:val="0"/>
          <w:sz w:val="24"/>
          <w:szCs w:val="24"/>
          <w:lang w:val="en-GB"/>
        </w:rPr>
        <w:t>Final term papers should not exceed three to four pages, excluding title page and references. Also review additional “assignment submission and grading” and ensure you follow all other instructions</w:t>
      </w:r>
      <w:r w:rsidR="001A451C">
        <w:rPr>
          <w:rFonts w:cs="Calibri"/>
          <w:b w:val="0"/>
          <w:sz w:val="24"/>
          <w:szCs w:val="24"/>
          <w:lang w:val="en-GB"/>
        </w:rPr>
        <w:t xml:space="preserve"> (2%)</w:t>
      </w:r>
    </w:p>
    <w:bookmarkEnd w:id="20"/>
    <w:p w14:paraId="41BACB80" w14:textId="77777777" w:rsidR="00BE36A4" w:rsidRPr="006E6404" w:rsidRDefault="00BE36A4" w:rsidP="00BE36A4">
      <w:pPr>
        <w:pStyle w:val="ListParagraph"/>
        <w:ind w:left="1152"/>
        <w:rPr>
          <w:rFonts w:cs="Calibri"/>
          <w:b w:val="0"/>
          <w:sz w:val="24"/>
          <w:szCs w:val="24"/>
          <w:lang w:val="en-GB"/>
        </w:rPr>
      </w:pPr>
    </w:p>
    <w:p w14:paraId="7A844CF8" w14:textId="63000202" w:rsidR="005C43A2" w:rsidRPr="006E6404" w:rsidRDefault="005C43A2" w:rsidP="005C43A2">
      <w:pPr>
        <w:pStyle w:val="ListParagraph"/>
        <w:numPr>
          <w:ilvl w:val="0"/>
          <w:numId w:val="23"/>
        </w:numPr>
        <w:rPr>
          <w:rFonts w:cs="Calibri"/>
          <w:b w:val="0"/>
          <w:sz w:val="24"/>
          <w:szCs w:val="24"/>
          <w:lang w:val="en-GB"/>
        </w:rPr>
      </w:pPr>
      <w:r w:rsidRPr="006E6404">
        <w:rPr>
          <w:rFonts w:cs="Calibri"/>
          <w:b w:val="0"/>
          <w:sz w:val="24"/>
          <w:szCs w:val="24"/>
          <w:lang w:val="en-GB"/>
        </w:rPr>
        <w:t>Weighted 20% of the final grad, this final term paper outline is due on February 11, 2020.</w:t>
      </w:r>
    </w:p>
    <w:p w14:paraId="1259EF2E" w14:textId="77777777" w:rsidR="005C43A2" w:rsidRPr="005C43A2" w:rsidRDefault="005C43A2" w:rsidP="005C43A2">
      <w:pPr>
        <w:pStyle w:val="ListParagraph"/>
        <w:rPr>
          <w:rFonts w:cs="Calibri"/>
          <w:b w:val="0"/>
          <w:lang w:val="en-GB"/>
        </w:rPr>
      </w:pPr>
    </w:p>
    <w:p w14:paraId="545C967B" w14:textId="1C115A4B" w:rsidR="005C43A2" w:rsidRPr="006E6404" w:rsidRDefault="005C43A2" w:rsidP="005C43A2">
      <w:pPr>
        <w:pStyle w:val="ListParagraph"/>
        <w:numPr>
          <w:ilvl w:val="0"/>
          <w:numId w:val="13"/>
        </w:numPr>
        <w:rPr>
          <w:rFonts w:eastAsia="MS Gothic" w:cs="Calibri"/>
          <w:b w:val="0"/>
          <w:bCs/>
          <w:color w:val="000000"/>
          <w:sz w:val="24"/>
          <w:szCs w:val="24"/>
          <w:lang w:val="en-GB"/>
        </w:rPr>
      </w:pPr>
      <w:r w:rsidRPr="006E6404">
        <w:rPr>
          <w:rFonts w:cs="Calibri"/>
          <w:bCs/>
          <w:sz w:val="24"/>
          <w:szCs w:val="24"/>
          <w:lang w:val="en-GB"/>
        </w:rPr>
        <w:t>Student Group Presentations</w:t>
      </w:r>
      <w:r w:rsidRPr="006E6404">
        <w:rPr>
          <w:rFonts w:cs="Calibri"/>
          <w:b w:val="0"/>
          <w:sz w:val="24"/>
          <w:szCs w:val="24"/>
          <w:lang w:val="en-GB"/>
        </w:rPr>
        <w:t xml:space="preserve"> </w:t>
      </w:r>
      <w:r w:rsidR="00BE36A4" w:rsidRPr="006E6404">
        <w:rPr>
          <w:rFonts w:cs="Calibri"/>
          <w:b w:val="0"/>
          <w:sz w:val="24"/>
          <w:szCs w:val="24"/>
          <w:lang w:val="en-GB"/>
        </w:rPr>
        <w:t xml:space="preserve">due </w:t>
      </w:r>
      <w:r w:rsidRPr="006E6404">
        <w:rPr>
          <w:rFonts w:eastAsia="MS Gothic" w:cs="Calibri"/>
          <w:b w:val="0"/>
          <w:bCs/>
          <w:color w:val="000000"/>
          <w:sz w:val="24"/>
          <w:szCs w:val="24"/>
          <w:lang w:val="en-GB"/>
        </w:rPr>
        <w:t>February 25, March 3; March 10, March 17, March 24, and March 31, 2020</w:t>
      </w:r>
      <w:r w:rsidR="00BE36A4" w:rsidRPr="006E6404">
        <w:rPr>
          <w:rFonts w:eastAsia="MS Gothic" w:cs="Calibri"/>
          <w:b w:val="0"/>
          <w:bCs/>
          <w:color w:val="000000"/>
          <w:sz w:val="24"/>
          <w:szCs w:val="24"/>
          <w:lang w:val="en-GB"/>
        </w:rPr>
        <w:t xml:space="preserve"> (a sign-up sheet will be provided in class)</w:t>
      </w:r>
      <w:r w:rsidRPr="006E6404">
        <w:rPr>
          <w:rFonts w:eastAsia="MS Gothic" w:cs="Calibri"/>
          <w:b w:val="0"/>
          <w:bCs/>
          <w:color w:val="000000"/>
          <w:sz w:val="24"/>
          <w:szCs w:val="24"/>
          <w:lang w:val="en-GB"/>
        </w:rPr>
        <w:t xml:space="preserve">; </w:t>
      </w:r>
      <w:r w:rsidR="001A451C">
        <w:rPr>
          <w:rFonts w:eastAsia="MS Gothic" w:cs="Calibri"/>
          <w:b w:val="0"/>
          <w:bCs/>
          <w:color w:val="000000"/>
          <w:sz w:val="24"/>
          <w:szCs w:val="24"/>
          <w:lang w:val="en-GB"/>
        </w:rPr>
        <w:t>30</w:t>
      </w:r>
      <w:r w:rsidRPr="006E6404">
        <w:rPr>
          <w:rFonts w:eastAsia="MS Gothic" w:cs="Calibri"/>
          <w:b w:val="0"/>
          <w:bCs/>
          <w:color w:val="000000"/>
          <w:sz w:val="24"/>
          <w:szCs w:val="24"/>
          <w:lang w:val="en-GB"/>
        </w:rPr>
        <w:t>%</w:t>
      </w:r>
    </w:p>
    <w:p w14:paraId="7FDA4CA4" w14:textId="25AD35E4" w:rsidR="00755EC7" w:rsidRPr="006E6404" w:rsidRDefault="00755EC7" w:rsidP="005C43A2">
      <w:pPr>
        <w:pStyle w:val="ListParagraph"/>
        <w:numPr>
          <w:ilvl w:val="0"/>
          <w:numId w:val="23"/>
        </w:numPr>
        <w:rPr>
          <w:rFonts w:eastAsia="MS Gothic" w:cs="Calibri"/>
          <w:b w:val="0"/>
          <w:bCs/>
          <w:color w:val="000000"/>
          <w:sz w:val="24"/>
          <w:szCs w:val="24"/>
          <w:lang w:val="en-GB"/>
        </w:rPr>
      </w:pPr>
      <w:r w:rsidRPr="006E6404">
        <w:rPr>
          <w:rFonts w:eastAsia="MS Gothic" w:cs="Calibri"/>
          <w:b w:val="0"/>
          <w:bCs/>
          <w:color w:val="000000"/>
          <w:sz w:val="24"/>
          <w:szCs w:val="24"/>
          <w:lang w:val="en-GB"/>
        </w:rPr>
        <w:t>In groups of four students, t</w:t>
      </w:r>
      <w:r w:rsidR="005C43A2" w:rsidRPr="006E6404">
        <w:rPr>
          <w:rFonts w:eastAsia="MS Gothic" w:cs="Calibri"/>
          <w:b w:val="0"/>
          <w:bCs/>
          <w:color w:val="000000"/>
          <w:sz w:val="24"/>
          <w:szCs w:val="24"/>
          <w:lang w:val="en-GB"/>
        </w:rPr>
        <w:t xml:space="preserve">hese presentations provide </w:t>
      </w:r>
      <w:r w:rsidRPr="006E6404">
        <w:rPr>
          <w:rFonts w:eastAsia="MS Gothic" w:cs="Calibri"/>
          <w:b w:val="0"/>
          <w:bCs/>
          <w:color w:val="000000"/>
          <w:sz w:val="24"/>
          <w:szCs w:val="24"/>
          <w:lang w:val="en-GB"/>
        </w:rPr>
        <w:t>a</w:t>
      </w:r>
      <w:r w:rsidR="005C43A2" w:rsidRPr="006E6404">
        <w:rPr>
          <w:rFonts w:eastAsia="MS Gothic" w:cs="Calibri"/>
          <w:b w:val="0"/>
          <w:bCs/>
          <w:color w:val="000000"/>
          <w:sz w:val="24"/>
          <w:szCs w:val="24"/>
          <w:lang w:val="en-GB"/>
        </w:rPr>
        <w:t xml:space="preserve">n opportunity to work collectively in a group on a specific topic of interest relevant to the course content. </w:t>
      </w:r>
      <w:r w:rsidRPr="006E6404">
        <w:rPr>
          <w:rFonts w:eastAsia="MS Gothic" w:cs="Calibri"/>
          <w:b w:val="0"/>
          <w:bCs/>
          <w:color w:val="000000"/>
          <w:sz w:val="24"/>
          <w:szCs w:val="24"/>
          <w:lang w:val="en-GB"/>
        </w:rPr>
        <w:t>The goal of these presentations will address the following:</w:t>
      </w:r>
    </w:p>
    <w:p w14:paraId="00F93E07" w14:textId="3CD10347" w:rsidR="00755EC7" w:rsidRPr="006E6404" w:rsidRDefault="00755EC7" w:rsidP="00755EC7">
      <w:pPr>
        <w:pStyle w:val="ListParagraph"/>
        <w:rPr>
          <w:rFonts w:eastAsia="MS Gothic" w:cs="Calibri"/>
          <w:b w:val="0"/>
          <w:bCs/>
          <w:color w:val="000000"/>
          <w:sz w:val="24"/>
          <w:szCs w:val="24"/>
          <w:lang w:val="en-GB"/>
        </w:rPr>
      </w:pPr>
    </w:p>
    <w:p w14:paraId="39779D06" w14:textId="05BBCA87" w:rsidR="00755EC7" w:rsidRPr="006E6404" w:rsidRDefault="00755EC7" w:rsidP="00BE36A4">
      <w:pPr>
        <w:pStyle w:val="ListParagraph"/>
        <w:numPr>
          <w:ilvl w:val="0"/>
          <w:numId w:val="25"/>
        </w:numPr>
        <w:rPr>
          <w:rFonts w:eastAsia="MS Gothic" w:cs="Calibri"/>
          <w:b w:val="0"/>
          <w:bCs/>
          <w:color w:val="000000"/>
          <w:sz w:val="24"/>
          <w:szCs w:val="24"/>
          <w:lang w:val="en-GB"/>
        </w:rPr>
      </w:pPr>
      <w:r w:rsidRPr="006E6404">
        <w:rPr>
          <w:rFonts w:eastAsia="MS Gothic" w:cs="Calibri"/>
          <w:b w:val="0"/>
          <w:bCs/>
          <w:color w:val="000000"/>
          <w:sz w:val="24"/>
          <w:szCs w:val="24"/>
          <w:lang w:val="en-GB"/>
        </w:rPr>
        <w:t>Introduces the selected topic and provides a rational to justify why a focus on this area is needed (2%);</w:t>
      </w:r>
    </w:p>
    <w:p w14:paraId="2765B89F" w14:textId="20DE0BDE" w:rsidR="00755EC7" w:rsidRPr="006E6404" w:rsidRDefault="005C43A2" w:rsidP="00BE36A4">
      <w:pPr>
        <w:pStyle w:val="ListParagraph"/>
        <w:numPr>
          <w:ilvl w:val="0"/>
          <w:numId w:val="25"/>
        </w:numPr>
        <w:rPr>
          <w:rFonts w:eastAsia="MS Gothic" w:cs="Calibri"/>
          <w:b w:val="0"/>
          <w:bCs/>
          <w:color w:val="000000"/>
          <w:sz w:val="24"/>
          <w:szCs w:val="24"/>
          <w:lang w:val="en-GB"/>
        </w:rPr>
      </w:pPr>
      <w:r w:rsidRPr="006E6404">
        <w:rPr>
          <w:rFonts w:eastAsia="MS Gothic" w:cs="Calibri"/>
          <w:b w:val="0"/>
          <w:bCs/>
          <w:color w:val="000000"/>
          <w:sz w:val="24"/>
          <w:szCs w:val="24"/>
          <w:lang w:val="en-GB"/>
        </w:rPr>
        <w:t>Drawing on scholarly literature</w:t>
      </w:r>
      <w:r w:rsidR="00755EC7" w:rsidRPr="006E6404">
        <w:rPr>
          <w:rFonts w:eastAsia="MS Gothic" w:cs="Calibri"/>
          <w:b w:val="0"/>
          <w:bCs/>
          <w:color w:val="000000"/>
          <w:sz w:val="24"/>
          <w:szCs w:val="24"/>
          <w:lang w:val="en-GB"/>
        </w:rPr>
        <w:t>, the presentation will identify a challenge related to sexual experience (10%);</w:t>
      </w:r>
    </w:p>
    <w:p w14:paraId="05DC6113" w14:textId="77777777" w:rsidR="00BE36A4" w:rsidRPr="006E6404" w:rsidRDefault="00755EC7" w:rsidP="00BE36A4">
      <w:pPr>
        <w:pStyle w:val="ListParagraph"/>
        <w:numPr>
          <w:ilvl w:val="0"/>
          <w:numId w:val="25"/>
        </w:numPr>
        <w:rPr>
          <w:rFonts w:eastAsia="MS Gothic" w:cs="Calibri"/>
          <w:b w:val="0"/>
          <w:bCs/>
          <w:color w:val="000000"/>
          <w:sz w:val="24"/>
          <w:szCs w:val="24"/>
          <w:lang w:val="en-GB"/>
        </w:rPr>
      </w:pPr>
      <w:r w:rsidRPr="006E6404">
        <w:rPr>
          <w:rFonts w:eastAsia="MS Gothic" w:cs="Calibri"/>
          <w:b w:val="0"/>
          <w:bCs/>
          <w:color w:val="000000"/>
          <w:sz w:val="24"/>
          <w:szCs w:val="24"/>
          <w:lang w:val="en-GB"/>
        </w:rPr>
        <w:t>Drawing on scholarly literature, the presentation will identify implications for social practice (10%);</w:t>
      </w:r>
    </w:p>
    <w:p w14:paraId="6AD13A37" w14:textId="5ADA5ADB" w:rsidR="00755EC7" w:rsidRPr="006E6404" w:rsidRDefault="00755EC7" w:rsidP="00BE36A4">
      <w:pPr>
        <w:pStyle w:val="ListParagraph"/>
        <w:numPr>
          <w:ilvl w:val="0"/>
          <w:numId w:val="25"/>
        </w:numPr>
        <w:rPr>
          <w:rFonts w:eastAsia="MS Gothic" w:cs="Calibri"/>
          <w:b w:val="0"/>
          <w:bCs/>
          <w:color w:val="000000"/>
          <w:sz w:val="24"/>
          <w:szCs w:val="24"/>
          <w:lang w:val="en-GB"/>
        </w:rPr>
      </w:pPr>
      <w:r w:rsidRPr="006E6404">
        <w:rPr>
          <w:rFonts w:eastAsia="MS Gothic" w:cs="Calibri"/>
          <w:b w:val="0"/>
          <w:bCs/>
          <w:color w:val="000000"/>
          <w:sz w:val="24"/>
          <w:szCs w:val="24"/>
          <w:lang w:val="en-GB"/>
        </w:rPr>
        <w:t>Organization of ideas, references, presentation style, grammar and spelling, and does not exceed the allotted time of 30 minutes, including class discussion (3%)</w:t>
      </w:r>
    </w:p>
    <w:p w14:paraId="4DD1B1E8" w14:textId="1AD1BDB1" w:rsidR="001C4731" w:rsidRPr="0054771E" w:rsidRDefault="005C43A2" w:rsidP="005438F5">
      <w:pPr>
        <w:pStyle w:val="Heading3"/>
        <w:numPr>
          <w:ilvl w:val="0"/>
          <w:numId w:val="13"/>
        </w:numPr>
        <w:rPr>
          <w:rFonts w:ascii="Calibri" w:hAnsi="Calibri" w:cs="Calibri"/>
          <w:b w:val="0"/>
          <w:szCs w:val="24"/>
          <w:lang w:val="fr-FR"/>
        </w:rPr>
      </w:pPr>
      <w:r w:rsidRPr="0054771E">
        <w:rPr>
          <w:rFonts w:ascii="Calibri" w:hAnsi="Calibri" w:cs="Calibri"/>
          <w:bCs w:val="0"/>
          <w:szCs w:val="24"/>
          <w:lang w:val="fr-FR"/>
        </w:rPr>
        <w:lastRenderedPageBreak/>
        <w:t>Participation Reflection</w:t>
      </w:r>
      <w:r w:rsidR="00BE36A4" w:rsidRPr="0054771E">
        <w:rPr>
          <w:rFonts w:ascii="Calibri" w:hAnsi="Calibri" w:cs="Calibri"/>
          <w:b w:val="0"/>
          <w:szCs w:val="24"/>
          <w:lang w:val="fr-FR"/>
        </w:rPr>
        <w:t xml:space="preserve"> due on March 31, 2020; 15% </w:t>
      </w:r>
    </w:p>
    <w:p w14:paraId="00A3008E" w14:textId="55752FFA" w:rsidR="001C4731" w:rsidRPr="0054771E" w:rsidRDefault="00BE36A4" w:rsidP="005438F5">
      <w:pPr>
        <w:numPr>
          <w:ilvl w:val="1"/>
          <w:numId w:val="13"/>
        </w:numPr>
        <w:rPr>
          <w:rFonts w:ascii="Calibri" w:hAnsi="Calibri" w:cs="Calibri"/>
          <w:b w:val="0"/>
          <w:szCs w:val="24"/>
          <w:lang w:val="en-GB"/>
        </w:rPr>
      </w:pPr>
      <w:r w:rsidRPr="0054771E">
        <w:rPr>
          <w:rFonts w:ascii="Calibri" w:hAnsi="Calibri" w:cs="Calibri"/>
          <w:b w:val="0"/>
          <w:szCs w:val="24"/>
          <w:lang w:val="en-GB"/>
        </w:rPr>
        <w:t>In assigning yourself a grade for the instructor to consider, provide no more than a paragraph to one-page written reflection (single space if fine) that includes answers to the following questions:</w:t>
      </w:r>
    </w:p>
    <w:p w14:paraId="0BBE5E45" w14:textId="20FF25D8" w:rsidR="00BE36A4" w:rsidRPr="0054771E" w:rsidRDefault="00BE36A4" w:rsidP="00BE36A4">
      <w:pPr>
        <w:pStyle w:val="ListParagraph"/>
        <w:numPr>
          <w:ilvl w:val="0"/>
          <w:numId w:val="24"/>
        </w:numPr>
        <w:rPr>
          <w:rFonts w:cs="Calibri"/>
          <w:b w:val="0"/>
          <w:sz w:val="24"/>
          <w:szCs w:val="24"/>
          <w:lang w:val="en-GB"/>
        </w:rPr>
      </w:pPr>
      <w:r w:rsidRPr="0054771E">
        <w:rPr>
          <w:rFonts w:cs="Calibri"/>
          <w:b w:val="0"/>
          <w:sz w:val="24"/>
          <w:szCs w:val="24"/>
          <w:lang w:val="en-GB"/>
        </w:rPr>
        <w:t>When you did attend lecture, how do you feel about your level of engagement and why? (4%)</w:t>
      </w:r>
    </w:p>
    <w:p w14:paraId="775B9992" w14:textId="668C0166" w:rsidR="00BE36A4" w:rsidRPr="0054771E" w:rsidRDefault="00BE36A4" w:rsidP="00BE36A4">
      <w:pPr>
        <w:pStyle w:val="ListParagraph"/>
        <w:numPr>
          <w:ilvl w:val="0"/>
          <w:numId w:val="24"/>
        </w:numPr>
        <w:rPr>
          <w:rFonts w:cs="Calibri"/>
          <w:b w:val="0"/>
          <w:sz w:val="24"/>
          <w:szCs w:val="24"/>
          <w:lang w:val="en-GB"/>
        </w:rPr>
      </w:pPr>
      <w:r w:rsidRPr="0054771E">
        <w:rPr>
          <w:rFonts w:cs="Calibri"/>
          <w:b w:val="0"/>
          <w:sz w:val="24"/>
          <w:szCs w:val="24"/>
          <w:lang w:val="en-GB"/>
        </w:rPr>
        <w:t>What three salient take-away messages did you receive from attending the course? (7%)</w:t>
      </w:r>
    </w:p>
    <w:p w14:paraId="241E8A63" w14:textId="6DCB29AC" w:rsidR="00BE36A4" w:rsidRPr="0054771E" w:rsidRDefault="00BE36A4" w:rsidP="00BE36A4">
      <w:pPr>
        <w:pStyle w:val="ListParagraph"/>
        <w:numPr>
          <w:ilvl w:val="0"/>
          <w:numId w:val="24"/>
        </w:numPr>
        <w:rPr>
          <w:rFonts w:cs="Calibri"/>
          <w:b w:val="0"/>
          <w:sz w:val="24"/>
          <w:szCs w:val="24"/>
          <w:lang w:val="en-GB"/>
        </w:rPr>
      </w:pPr>
      <w:r w:rsidRPr="0054771E">
        <w:rPr>
          <w:rFonts w:cs="Calibri"/>
          <w:b w:val="0"/>
          <w:sz w:val="24"/>
          <w:szCs w:val="24"/>
          <w:lang w:val="en-GB"/>
        </w:rPr>
        <w:t>What questions remain unanswered and how might you address these moving forward (4%)</w:t>
      </w:r>
    </w:p>
    <w:p w14:paraId="0858F0F3" w14:textId="4F451E10" w:rsidR="001C4731" w:rsidRPr="000A6633" w:rsidRDefault="0054771E" w:rsidP="005438F5">
      <w:pPr>
        <w:pStyle w:val="Heading3"/>
        <w:numPr>
          <w:ilvl w:val="0"/>
          <w:numId w:val="13"/>
        </w:numPr>
        <w:rPr>
          <w:rFonts w:ascii="Calibri" w:hAnsi="Calibri" w:cs="Calibri"/>
          <w:b w:val="0"/>
          <w:lang w:val="en-GB"/>
        </w:rPr>
      </w:pPr>
      <w:r w:rsidRPr="0054771E">
        <w:rPr>
          <w:rFonts w:ascii="Calibri" w:hAnsi="Calibri" w:cs="Calibri"/>
          <w:bCs w:val="0"/>
          <w:lang w:val="en-GB"/>
        </w:rPr>
        <w:t>Final Term Paper</w:t>
      </w:r>
      <w:r>
        <w:rPr>
          <w:rFonts w:ascii="Calibri" w:hAnsi="Calibri" w:cs="Calibri"/>
          <w:b w:val="0"/>
          <w:lang w:val="en-GB"/>
        </w:rPr>
        <w:t xml:space="preserve"> due on April 7, 2020; </w:t>
      </w:r>
      <w:r w:rsidR="001A451C">
        <w:rPr>
          <w:rFonts w:ascii="Calibri" w:hAnsi="Calibri" w:cs="Calibri"/>
          <w:b w:val="0"/>
          <w:lang w:val="en-GB"/>
        </w:rPr>
        <w:t>35</w:t>
      </w:r>
      <w:r>
        <w:rPr>
          <w:rFonts w:ascii="Calibri" w:hAnsi="Calibri" w:cs="Calibri"/>
          <w:b w:val="0"/>
          <w:lang w:val="en-GB"/>
        </w:rPr>
        <w:t>%</w:t>
      </w:r>
    </w:p>
    <w:p w14:paraId="572057F2" w14:textId="001CAC8D" w:rsidR="001C4731" w:rsidRDefault="0054771E" w:rsidP="005438F5">
      <w:pPr>
        <w:numPr>
          <w:ilvl w:val="1"/>
          <w:numId w:val="13"/>
        </w:numPr>
        <w:rPr>
          <w:rFonts w:ascii="Calibri" w:hAnsi="Calibri" w:cs="Calibri"/>
          <w:b w:val="0"/>
          <w:lang w:val="en-GB"/>
        </w:rPr>
      </w:pPr>
      <w:r>
        <w:rPr>
          <w:rFonts w:ascii="Calibri" w:hAnsi="Calibri" w:cs="Calibri"/>
          <w:b w:val="0"/>
          <w:lang w:val="en-GB"/>
        </w:rPr>
        <w:t>All students, using feedback provided on the final term paper outline, will write a final term paper. Again, final term papers will identify a research focus related to the course content, argue a point of view that support the research focus, and is linked to relevant scholarly literature. As before, the final term paper will address the following:</w:t>
      </w:r>
    </w:p>
    <w:p w14:paraId="42495D58" w14:textId="3D3646C3" w:rsidR="001A451C" w:rsidRPr="006E6404" w:rsidRDefault="001A451C" w:rsidP="001A451C">
      <w:pPr>
        <w:pStyle w:val="ListParagraph"/>
        <w:numPr>
          <w:ilvl w:val="2"/>
          <w:numId w:val="28"/>
        </w:numPr>
        <w:rPr>
          <w:rFonts w:cs="Calibri"/>
          <w:b w:val="0"/>
          <w:sz w:val="24"/>
          <w:szCs w:val="24"/>
          <w:lang w:val="en-GB"/>
        </w:rPr>
      </w:pPr>
      <w:bookmarkStart w:id="21" w:name="_Toc12350808"/>
      <w:bookmarkStart w:id="22" w:name="_Toc12438431"/>
      <w:r w:rsidRPr="006E6404">
        <w:rPr>
          <w:rFonts w:cs="Calibri"/>
          <w:b w:val="0"/>
          <w:sz w:val="24"/>
          <w:szCs w:val="24"/>
          <w:lang w:val="en-GB"/>
        </w:rPr>
        <w:t>In the introduction, identify a specific challenge that someone might experience as it relates to sexuality; provide a rational or justify why a focus on this area is needed (</w:t>
      </w:r>
      <w:r>
        <w:rPr>
          <w:rFonts w:cs="Calibri"/>
          <w:b w:val="0"/>
          <w:sz w:val="24"/>
          <w:szCs w:val="24"/>
          <w:lang w:val="en-GB"/>
        </w:rPr>
        <w:t>5.25</w:t>
      </w:r>
      <w:r w:rsidRPr="006E6404">
        <w:rPr>
          <w:rFonts w:cs="Calibri"/>
          <w:b w:val="0"/>
          <w:sz w:val="24"/>
          <w:szCs w:val="24"/>
          <w:lang w:val="en-GB"/>
        </w:rPr>
        <w:t>%);</w:t>
      </w:r>
    </w:p>
    <w:p w14:paraId="138EDB5A" w14:textId="6AE7C338" w:rsidR="001A451C" w:rsidRPr="006E6404" w:rsidRDefault="001A451C" w:rsidP="001A451C">
      <w:pPr>
        <w:pStyle w:val="ListParagraph"/>
        <w:numPr>
          <w:ilvl w:val="2"/>
          <w:numId w:val="28"/>
        </w:numPr>
        <w:rPr>
          <w:rFonts w:cs="Calibri"/>
          <w:b w:val="0"/>
          <w:sz w:val="24"/>
          <w:szCs w:val="24"/>
          <w:lang w:val="en-GB"/>
        </w:rPr>
      </w:pPr>
      <w:r w:rsidRPr="006E6404">
        <w:rPr>
          <w:rFonts w:cs="Calibri"/>
          <w:b w:val="0"/>
          <w:sz w:val="24"/>
          <w:szCs w:val="24"/>
          <w:lang w:val="en-GB"/>
        </w:rPr>
        <w:t>Adequately review the scholarly published literature for your selected topic using as many readings as needed to describe the specific challenge (</w:t>
      </w:r>
      <w:r>
        <w:rPr>
          <w:rFonts w:cs="Calibri"/>
          <w:b w:val="0"/>
          <w:sz w:val="24"/>
          <w:szCs w:val="24"/>
          <w:lang w:val="en-GB"/>
        </w:rPr>
        <w:t>8.75</w:t>
      </w:r>
      <w:r w:rsidRPr="006E6404">
        <w:rPr>
          <w:rFonts w:cs="Calibri"/>
          <w:b w:val="0"/>
          <w:sz w:val="24"/>
          <w:szCs w:val="24"/>
          <w:lang w:val="en-GB"/>
        </w:rPr>
        <w:t xml:space="preserve">%); </w:t>
      </w:r>
    </w:p>
    <w:p w14:paraId="6A81D220" w14:textId="1AE109AC" w:rsidR="001A451C" w:rsidRDefault="001A451C" w:rsidP="001A451C">
      <w:pPr>
        <w:pStyle w:val="ListParagraph"/>
        <w:numPr>
          <w:ilvl w:val="2"/>
          <w:numId w:val="28"/>
        </w:numPr>
        <w:rPr>
          <w:rFonts w:cs="Calibri"/>
          <w:b w:val="0"/>
          <w:sz w:val="24"/>
          <w:szCs w:val="24"/>
          <w:lang w:val="en-GB"/>
        </w:rPr>
      </w:pPr>
      <w:r w:rsidRPr="006E6404">
        <w:rPr>
          <w:rFonts w:cs="Calibri"/>
          <w:b w:val="0"/>
          <w:sz w:val="24"/>
          <w:szCs w:val="24"/>
          <w:lang w:val="en-GB"/>
        </w:rPr>
        <w:t>Adequately review the scholarly published literature towards examining implications for social practice (</w:t>
      </w:r>
      <w:r>
        <w:rPr>
          <w:rFonts w:cs="Calibri"/>
          <w:b w:val="0"/>
          <w:sz w:val="24"/>
          <w:szCs w:val="24"/>
          <w:lang w:val="en-GB"/>
        </w:rPr>
        <w:t>8.75</w:t>
      </w:r>
      <w:r w:rsidRPr="006E6404">
        <w:rPr>
          <w:rFonts w:cs="Calibri"/>
          <w:b w:val="0"/>
          <w:sz w:val="24"/>
          <w:szCs w:val="24"/>
          <w:lang w:val="en-GB"/>
        </w:rPr>
        <w:t>%)</w:t>
      </w:r>
    </w:p>
    <w:p w14:paraId="11670BF1" w14:textId="7B989DF3" w:rsidR="001A451C" w:rsidRPr="006E6404" w:rsidRDefault="001A451C" w:rsidP="001A451C">
      <w:pPr>
        <w:pStyle w:val="ListParagraph"/>
        <w:numPr>
          <w:ilvl w:val="2"/>
          <w:numId w:val="28"/>
        </w:numPr>
        <w:rPr>
          <w:rFonts w:cs="Calibri"/>
          <w:b w:val="0"/>
          <w:sz w:val="24"/>
          <w:szCs w:val="24"/>
          <w:lang w:val="en-GB"/>
        </w:rPr>
      </w:pPr>
      <w:r>
        <w:rPr>
          <w:rFonts w:cs="Calibri"/>
          <w:b w:val="0"/>
          <w:sz w:val="24"/>
          <w:szCs w:val="24"/>
          <w:lang w:val="en-GB"/>
        </w:rPr>
        <w:t>Provides a conclusion that goes beyond a simple summary of ideas towards critical evaluating the importance of the approach argued in the paper (8.75%)</w:t>
      </w:r>
    </w:p>
    <w:p w14:paraId="3941C8C2" w14:textId="582BD714" w:rsidR="001A451C" w:rsidRDefault="001A451C" w:rsidP="001A451C">
      <w:pPr>
        <w:pStyle w:val="ListParagraph"/>
        <w:numPr>
          <w:ilvl w:val="2"/>
          <w:numId w:val="28"/>
        </w:numPr>
        <w:rPr>
          <w:rFonts w:cs="Calibri"/>
          <w:b w:val="0"/>
          <w:sz w:val="24"/>
          <w:szCs w:val="24"/>
          <w:lang w:val="en-GB"/>
        </w:rPr>
      </w:pPr>
      <w:r w:rsidRPr="006E6404">
        <w:rPr>
          <w:rFonts w:cs="Calibri"/>
          <w:b w:val="0"/>
          <w:sz w:val="24"/>
          <w:szCs w:val="24"/>
          <w:lang w:val="en-GB"/>
        </w:rPr>
        <w:t>Final term papers should not exceed three to four pages, excluding title page and references. Also review additional “assignment submission and grading” and ensure you follow all other instructions</w:t>
      </w:r>
      <w:r>
        <w:rPr>
          <w:rFonts w:cs="Calibri"/>
          <w:b w:val="0"/>
          <w:sz w:val="24"/>
          <w:szCs w:val="24"/>
          <w:lang w:val="en-GB"/>
        </w:rPr>
        <w:t xml:space="preserve"> (3.5%)</w:t>
      </w:r>
    </w:p>
    <w:p w14:paraId="02CDD3E7" w14:textId="4D7D1684" w:rsidR="0081713C" w:rsidRPr="0081713C" w:rsidRDefault="0081713C" w:rsidP="0081713C">
      <w:pPr>
        <w:ind w:firstLine="720"/>
      </w:pPr>
      <w:r w:rsidRPr="0081713C">
        <w:t xml:space="preserve">Please note:  </w:t>
      </w:r>
    </w:p>
    <w:p w14:paraId="2D4709DB" w14:textId="47B1476B" w:rsidR="0081713C" w:rsidRPr="0081713C" w:rsidRDefault="0081713C" w:rsidP="0081713C">
      <w:pPr>
        <w:ind w:left="720"/>
        <w:rPr>
          <w:rFonts w:cs="Calibri"/>
          <w:szCs w:val="24"/>
        </w:rPr>
      </w:pPr>
      <w:r w:rsidRPr="0081713C">
        <w:t xml:space="preserve">Assignment </w:t>
      </w:r>
      <w:r w:rsidRPr="0081713C">
        <w:t>4</w:t>
      </w:r>
      <w:r w:rsidRPr="0081713C">
        <w:t xml:space="preserve">: </w:t>
      </w:r>
      <w:r w:rsidRPr="0081713C">
        <w:rPr>
          <w:rFonts w:cs="Calibri"/>
          <w:szCs w:val="24"/>
        </w:rPr>
        <w:t>is the final assignment for purposes of the Late Withdrawal Policy.</w:t>
      </w:r>
    </w:p>
    <w:p w14:paraId="24E6F588" w14:textId="1C0BF7D9" w:rsidR="0081713C" w:rsidRPr="0081713C" w:rsidRDefault="0081713C" w:rsidP="0081713C">
      <w:pPr>
        <w:ind w:left="720"/>
        <w:rPr>
          <w:rFonts w:cs="Calibri"/>
          <w:b w:val="0"/>
          <w:szCs w:val="24"/>
          <w:lang w:val="en-GB"/>
        </w:rPr>
      </w:pPr>
      <w:r>
        <w:rPr>
          <w:rFonts w:cs="Calibri"/>
          <w:b w:val="0"/>
          <w:szCs w:val="24"/>
          <w:lang w:val="en-GB"/>
        </w:rPr>
        <w:t xml:space="preserve"> </w:t>
      </w:r>
    </w:p>
    <w:p w14:paraId="0EDAB0B4" w14:textId="77777777" w:rsidR="001F3D7B" w:rsidRPr="000A6633" w:rsidRDefault="001F3D7B" w:rsidP="003F0E2E">
      <w:pPr>
        <w:pStyle w:val="Heading1"/>
        <w:rPr>
          <w:lang w:val="en-GB"/>
        </w:rPr>
      </w:pPr>
      <w:r w:rsidRPr="000A6633">
        <w:rPr>
          <w:lang w:val="en-GB"/>
        </w:rPr>
        <w:t>Assignment Submission and Grading</w:t>
      </w:r>
      <w:bookmarkEnd w:id="21"/>
      <w:bookmarkEnd w:id="22"/>
    </w:p>
    <w:p w14:paraId="76B993A6" w14:textId="77777777" w:rsidR="001F3D7B" w:rsidRPr="000A6633" w:rsidRDefault="001F3D7B" w:rsidP="008B718A">
      <w:pPr>
        <w:pStyle w:val="Heading2"/>
      </w:pPr>
      <w:bookmarkStart w:id="23" w:name="_Toc12350809"/>
      <w:r w:rsidRPr="000A6633">
        <w:t>Form and Style</w:t>
      </w:r>
      <w:bookmarkEnd w:id="23"/>
      <w:r w:rsidRPr="000A6633">
        <w:t xml:space="preserve"> </w:t>
      </w:r>
    </w:p>
    <w:p w14:paraId="7A2DBCB3" w14:textId="78C68F0F" w:rsidR="001F3D7B" w:rsidRPr="000A6633" w:rsidRDefault="001F3D7B" w:rsidP="005438F5">
      <w:pPr>
        <w:pStyle w:val="ListParagraph"/>
        <w:numPr>
          <w:ilvl w:val="0"/>
          <w:numId w:val="6"/>
        </w:numPr>
        <w:autoSpaceDE w:val="0"/>
        <w:autoSpaceDN w:val="0"/>
        <w:adjustRightInd w:val="0"/>
        <w:rPr>
          <w:rFonts w:cs="Calibri"/>
          <w:b w:val="0"/>
          <w:color w:val="000000"/>
          <w:sz w:val="24"/>
          <w:szCs w:val="24"/>
        </w:rPr>
      </w:pPr>
      <w:r w:rsidRPr="000A6633">
        <w:rPr>
          <w:rFonts w:cs="Calibri"/>
          <w:b w:val="0"/>
          <w:color w:val="000000"/>
          <w:sz w:val="24"/>
          <w:szCs w:val="24"/>
        </w:rPr>
        <w:t xml:space="preserve">Written assignments must be typed and double-spaced </w:t>
      </w:r>
      <w:r w:rsidR="00F0431F">
        <w:rPr>
          <w:rFonts w:cs="Calibri"/>
          <w:b w:val="0"/>
          <w:color w:val="000000"/>
          <w:sz w:val="24"/>
          <w:szCs w:val="24"/>
        </w:rPr>
        <w:t xml:space="preserve">(unless otherwise stated) </w:t>
      </w:r>
      <w:r w:rsidRPr="000A6633">
        <w:rPr>
          <w:rFonts w:cs="Calibri"/>
          <w:b w:val="0"/>
          <w:color w:val="000000"/>
          <w:sz w:val="24"/>
          <w:szCs w:val="24"/>
        </w:rPr>
        <w:t xml:space="preserve">and submitted with a front page containing the title, student’s name, student number, and the date. Number all pages (except title page). </w:t>
      </w:r>
    </w:p>
    <w:p w14:paraId="47AD12DE" w14:textId="7191BF13" w:rsidR="001F3D7B" w:rsidRPr="000A6633" w:rsidRDefault="00F0431F" w:rsidP="005438F5">
      <w:pPr>
        <w:pStyle w:val="ListParagraph"/>
        <w:numPr>
          <w:ilvl w:val="0"/>
          <w:numId w:val="6"/>
        </w:numPr>
        <w:autoSpaceDE w:val="0"/>
        <w:autoSpaceDN w:val="0"/>
        <w:adjustRightInd w:val="0"/>
        <w:rPr>
          <w:rFonts w:cs="Calibri"/>
          <w:b w:val="0"/>
          <w:color w:val="000000"/>
          <w:sz w:val="24"/>
          <w:szCs w:val="24"/>
        </w:rPr>
      </w:pPr>
      <w:r>
        <w:rPr>
          <w:rFonts w:cs="Calibri"/>
          <w:b w:val="0"/>
          <w:color w:val="000000"/>
          <w:sz w:val="24"/>
          <w:szCs w:val="24"/>
        </w:rPr>
        <w:t>Assignments should be handed in on Avenue on the due date before midnight.</w:t>
      </w:r>
    </w:p>
    <w:p w14:paraId="55B9A198" w14:textId="77777777" w:rsidR="001F3D7B" w:rsidRPr="000A6633" w:rsidRDefault="001F3D7B" w:rsidP="005438F5">
      <w:pPr>
        <w:pStyle w:val="ListParagraph"/>
        <w:numPr>
          <w:ilvl w:val="0"/>
          <w:numId w:val="6"/>
        </w:numPr>
        <w:autoSpaceDE w:val="0"/>
        <w:autoSpaceDN w:val="0"/>
        <w:adjustRightInd w:val="0"/>
        <w:rPr>
          <w:rFonts w:cs="Calibri"/>
          <w:b w:val="0"/>
          <w:color w:val="000000"/>
          <w:sz w:val="24"/>
          <w:szCs w:val="24"/>
        </w:rPr>
      </w:pPr>
      <w:r w:rsidRPr="000A6633">
        <w:rPr>
          <w:rFonts w:cs="Calibri"/>
          <w:b w:val="0"/>
          <w:color w:val="000000"/>
          <w:sz w:val="24"/>
          <w:szCs w:val="24"/>
        </w:rPr>
        <w:lastRenderedPageBreak/>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4D7920FB" w14:textId="77777777" w:rsidR="001F3D7B" w:rsidRPr="000A6633" w:rsidRDefault="001F3D7B" w:rsidP="005438F5">
      <w:pPr>
        <w:pStyle w:val="ListParagraph"/>
        <w:numPr>
          <w:ilvl w:val="0"/>
          <w:numId w:val="6"/>
        </w:numPr>
        <w:autoSpaceDE w:val="0"/>
        <w:autoSpaceDN w:val="0"/>
        <w:adjustRightInd w:val="0"/>
        <w:rPr>
          <w:rFonts w:cs="Calibri"/>
          <w:b w:val="0"/>
          <w:color w:val="000000"/>
          <w:sz w:val="24"/>
          <w:szCs w:val="24"/>
        </w:rPr>
      </w:pPr>
      <w:r w:rsidRPr="000A6633">
        <w:rPr>
          <w:rFonts w:cs="Calibri"/>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3AF31214" w14:textId="7F5C3150" w:rsidR="00345050" w:rsidRPr="000A6633" w:rsidRDefault="001F3D7B" w:rsidP="008B718A">
      <w:pPr>
        <w:pStyle w:val="Heading2"/>
      </w:pPr>
      <w:bookmarkStart w:id="24" w:name="_Toc12350810"/>
      <w:r w:rsidRPr="000A6633">
        <w:t>Avenue to Learn</w:t>
      </w:r>
      <w:r w:rsidR="00121290" w:rsidRPr="000A6633">
        <w:t xml:space="preserve"> </w:t>
      </w:r>
      <w:bookmarkEnd w:id="24"/>
    </w:p>
    <w:p w14:paraId="1A095B64" w14:textId="2E372EC2" w:rsidR="001F3D7B" w:rsidRPr="000A6633" w:rsidRDefault="001F3D7B" w:rsidP="00C114E6">
      <w:pPr>
        <w:rPr>
          <w:rFonts w:ascii="Calibri" w:hAnsi="Calibri" w:cs="Calibri"/>
          <w:b w:val="0"/>
        </w:rPr>
      </w:pPr>
      <w:r w:rsidRPr="000A6633">
        <w:rPr>
          <w:rFonts w:ascii="Calibri" w:hAnsi="Calibri" w:cs="Calibri"/>
          <w:b w:val="0"/>
        </w:rPr>
        <w:t xml:space="preserve">In this </w:t>
      </w:r>
      <w:r w:rsidR="00C114E6" w:rsidRPr="000A6633">
        <w:rPr>
          <w:rFonts w:ascii="Calibri" w:hAnsi="Calibri" w:cs="Calibri"/>
          <w:b w:val="0"/>
        </w:rPr>
        <w:t>course,</w:t>
      </w:r>
      <w:r w:rsidRPr="000A6633">
        <w:rPr>
          <w:rFonts w:ascii="Calibri" w:hAnsi="Calibri" w:cs="Calibri"/>
          <w:b w:val="0"/>
        </w:rPr>
        <w:t xml:space="preserve"> we will be using Avenue</w:t>
      </w:r>
      <w:r w:rsidR="00121290" w:rsidRPr="000A6633">
        <w:rPr>
          <w:rFonts w:ascii="Calibri" w:hAnsi="Calibri" w:cs="Calibri"/>
          <w:b w:val="0"/>
        </w:rPr>
        <w:t xml:space="preserve"> </w:t>
      </w:r>
      <w:r w:rsidRPr="000A6633">
        <w:rPr>
          <w:rFonts w:ascii="Calibri" w:hAnsi="Calibri" w:cs="Calibri"/>
          <w:b w:val="0"/>
        </w:rPr>
        <w:t>to Learn</w:t>
      </w:r>
      <w:r w:rsidR="00C114E6" w:rsidRPr="000A6633">
        <w:rPr>
          <w:rFonts w:ascii="Calibri" w:hAnsi="Calibri" w:cs="Calibri"/>
          <w:b w:val="0"/>
        </w:rPr>
        <w:t xml:space="preserve">. </w:t>
      </w:r>
      <w:r w:rsidRPr="000A6633">
        <w:rPr>
          <w:rFonts w:ascii="Calibri" w:hAnsi="Calibri" w:cs="Calibri"/>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4F2EB156" w14:textId="77777777" w:rsidR="006E5DC7" w:rsidRPr="000A6633" w:rsidRDefault="006E5DC7" w:rsidP="008B718A">
      <w:pPr>
        <w:pStyle w:val="Heading2"/>
      </w:pPr>
      <w:bookmarkStart w:id="25" w:name="_Toc12350811"/>
      <w:r w:rsidRPr="000A6633">
        <w:t>Submitting Assignments &amp; Grading</w:t>
      </w:r>
      <w:bookmarkEnd w:id="25"/>
      <w:r w:rsidRPr="000A6633">
        <w:t xml:space="preserve"> </w:t>
      </w:r>
    </w:p>
    <w:p w14:paraId="24A65AEF" w14:textId="68D462AA" w:rsidR="006E5DC7" w:rsidRPr="000A6633" w:rsidRDefault="006E5DC7" w:rsidP="008B718A">
      <w:pPr>
        <w:pStyle w:val="Heading2"/>
      </w:pPr>
      <w:bookmarkStart w:id="26" w:name="_Toc12350812"/>
      <w:r w:rsidRPr="000A6633">
        <w:t>Privacy Protection</w:t>
      </w:r>
      <w:bookmarkEnd w:id="26"/>
      <w:r w:rsidRPr="000A6633">
        <w:t xml:space="preserve"> </w:t>
      </w:r>
    </w:p>
    <w:p w14:paraId="1CFB4C68" w14:textId="77777777" w:rsidR="006E5DC7" w:rsidRPr="000A6633" w:rsidRDefault="006E5DC7" w:rsidP="006E5DC7">
      <w:pPr>
        <w:pStyle w:val="Default"/>
        <w:rPr>
          <w:rFonts w:ascii="Calibri" w:hAnsi="Calibri" w:cs="Calibri"/>
        </w:rPr>
      </w:pPr>
      <w:r w:rsidRPr="000A6633">
        <w:rPr>
          <w:rFonts w:ascii="Calibri" w:hAnsi="Calibri" w:cs="Calibri"/>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rPr>
          <w:rFonts w:ascii="Calibri" w:hAnsi="Calibri" w:cs="Calibri"/>
        </w:rPr>
        <w:t>five</w:t>
      </w:r>
      <w:r w:rsidRPr="000A6633">
        <w:rPr>
          <w:rFonts w:ascii="Calibri" w:hAnsi="Calibri" w:cs="Calibri"/>
        </w:rPr>
        <w:t xml:space="preserve"> digits of the student number as the identifying data. The following possibilities exist for return of graded materials: </w:t>
      </w:r>
    </w:p>
    <w:p w14:paraId="6FAEF37E"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Direct return of materials to students in class; </w:t>
      </w:r>
    </w:p>
    <w:p w14:paraId="25C00E14"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Return of materials to students during office hours; </w:t>
      </w:r>
    </w:p>
    <w:p w14:paraId="53E8DEEB"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Students attach a stamped, self-addressed envelope with assignments for return by mail; </w:t>
      </w:r>
    </w:p>
    <w:p w14:paraId="27BCCC6B"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Submit/grade/return papers electronically. </w:t>
      </w:r>
    </w:p>
    <w:p w14:paraId="10FADFB1" w14:textId="77777777" w:rsidR="006E5DC7" w:rsidRPr="000A6633" w:rsidRDefault="006E5DC7" w:rsidP="006E5DC7">
      <w:pPr>
        <w:pStyle w:val="Default"/>
        <w:rPr>
          <w:rFonts w:ascii="Calibri" w:hAnsi="Calibri" w:cs="Calibri"/>
        </w:rPr>
      </w:pPr>
      <w:r w:rsidRPr="000A6633">
        <w:rPr>
          <w:rFonts w:ascii="Calibri" w:hAnsi="Calibri" w:cs="Calibri"/>
        </w:rPr>
        <w:t xml:space="preserve">Arrangements for the return of assignments from the options above will be finalized during the first class. </w:t>
      </w:r>
    </w:p>
    <w:p w14:paraId="03645355" w14:textId="77777777" w:rsidR="006E5DC7" w:rsidRPr="000A6633" w:rsidRDefault="00205826" w:rsidP="008B718A">
      <w:pPr>
        <w:pStyle w:val="Heading2"/>
      </w:pPr>
      <w:bookmarkStart w:id="27" w:name="_Toc12350813"/>
      <w:r w:rsidRPr="000A6633">
        <w:t>Extreme Circumstances</w:t>
      </w:r>
      <w:bookmarkEnd w:id="27"/>
    </w:p>
    <w:p w14:paraId="3ADDA90A" w14:textId="77777777" w:rsidR="00205826" w:rsidRPr="000A6633" w:rsidRDefault="00205826" w:rsidP="00205826">
      <w:pPr>
        <w:rPr>
          <w:rFonts w:ascii="Calibri" w:hAnsi="Calibri" w:cs="Calibri"/>
          <w:b w:val="0"/>
          <w:szCs w:val="24"/>
        </w:rPr>
      </w:pPr>
      <w:r w:rsidRPr="000A6633">
        <w:rPr>
          <w:rFonts w:ascii="Calibri" w:hAnsi="Calibri" w:cs="Calibri"/>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64AAB135" w14:textId="77777777" w:rsidR="003F60FC" w:rsidRPr="000A6633" w:rsidRDefault="003F60FC" w:rsidP="003F0E2E">
      <w:pPr>
        <w:pStyle w:val="Heading1"/>
      </w:pPr>
      <w:bookmarkStart w:id="28" w:name="_Toc12350814"/>
      <w:bookmarkStart w:id="29" w:name="_Toc12438432"/>
      <w:r w:rsidRPr="000A6633">
        <w:lastRenderedPageBreak/>
        <w:t>Student Responsibilities</w:t>
      </w:r>
      <w:bookmarkEnd w:id="28"/>
      <w:bookmarkEnd w:id="29"/>
      <w:r w:rsidRPr="000A6633">
        <w:t xml:space="preserve"> </w:t>
      </w:r>
    </w:p>
    <w:p w14:paraId="291B383B" w14:textId="77777777" w:rsidR="003F60FC" w:rsidRPr="000A6633" w:rsidRDefault="003F60FC" w:rsidP="005438F5">
      <w:pPr>
        <w:pStyle w:val="Default"/>
        <w:numPr>
          <w:ilvl w:val="0"/>
          <w:numId w:val="4"/>
        </w:numPr>
        <w:rPr>
          <w:rFonts w:ascii="Calibri" w:hAnsi="Calibri" w:cs="Calibri"/>
        </w:rPr>
      </w:pPr>
      <w:r w:rsidRPr="000A6633">
        <w:rPr>
          <w:rFonts w:ascii="Calibri" w:hAnsi="Calibri" w:cs="Calibri"/>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14490814" w14:textId="77777777" w:rsidR="003F60FC" w:rsidRPr="000A6633" w:rsidRDefault="003F60FC" w:rsidP="005438F5">
      <w:pPr>
        <w:pStyle w:val="Default"/>
        <w:numPr>
          <w:ilvl w:val="0"/>
          <w:numId w:val="4"/>
        </w:numPr>
        <w:rPr>
          <w:rFonts w:ascii="Calibri" w:hAnsi="Calibri" w:cs="Calibri"/>
        </w:rPr>
      </w:pPr>
      <w:r w:rsidRPr="000A6633">
        <w:rPr>
          <w:rFonts w:ascii="Calibri" w:hAnsi="Calibri" w:cs="Calibri"/>
        </w:rPr>
        <w:t>In the past</w:t>
      </w:r>
      <w:r w:rsidR="00DE499F" w:rsidRPr="000A6633">
        <w:rPr>
          <w:rFonts w:ascii="Calibri" w:hAnsi="Calibri" w:cs="Calibri"/>
        </w:rPr>
        <w:t>,</w:t>
      </w:r>
      <w:r w:rsidRPr="000A6633">
        <w:rPr>
          <w:rFonts w:ascii="Calibri" w:hAnsi="Calibri" w:cs="Calibri"/>
        </w:rPr>
        <w:t xml:space="preserve"> student and faculty have found that non-course related use of laptop computers and hand-held electronic devices during class to be distracting and at times disruptive. Consequently, during </w:t>
      </w:r>
      <w:r w:rsidR="00C114E6" w:rsidRPr="000A6633">
        <w:rPr>
          <w:rFonts w:ascii="Calibri" w:hAnsi="Calibri" w:cs="Calibri"/>
        </w:rPr>
        <w:t>class,</w:t>
      </w:r>
      <w:r w:rsidRPr="000A6633">
        <w:rPr>
          <w:rFonts w:ascii="Calibri" w:hAnsi="Calibri" w:cs="Calibri"/>
        </w:rPr>
        <w:t xml:space="preserve"> students are expected to only use such devices for taking notes and other activities directly related to the lecture or class activity taking place. </w:t>
      </w:r>
    </w:p>
    <w:p w14:paraId="50C7962C" w14:textId="77777777" w:rsidR="00EA17D1" w:rsidRPr="000A6633" w:rsidRDefault="00EA17D1" w:rsidP="00EA17D1">
      <w:pPr>
        <w:numPr>
          <w:ilvl w:val="0"/>
          <w:numId w:val="4"/>
        </w:numPr>
        <w:rPr>
          <w:rFonts w:ascii="Calibri" w:eastAsia="Calibri" w:hAnsi="Calibri" w:cs="Calibri"/>
          <w:b w:val="0"/>
          <w:color w:val="000000"/>
          <w:szCs w:val="24"/>
        </w:rPr>
      </w:pPr>
      <w:r w:rsidRPr="000A6633">
        <w:rPr>
          <w:rFonts w:ascii="Calibri" w:eastAsia="Calibri" w:hAnsi="Calibri" w:cs="Calibri"/>
          <w:b w:val="0"/>
          <w:color w:val="000000"/>
          <w:szCs w:val="24"/>
        </w:rPr>
        <w:t xml:space="preserve">Please check with the instructor before using any audio or video recording devices in the classroom. </w:t>
      </w:r>
    </w:p>
    <w:p w14:paraId="13D8E496" w14:textId="77777777" w:rsidR="00853542" w:rsidRPr="000A6633" w:rsidRDefault="00853542" w:rsidP="008B718A">
      <w:pPr>
        <w:pStyle w:val="Heading2"/>
      </w:pPr>
      <w:bookmarkStart w:id="30" w:name="_Toc12350815"/>
      <w:r w:rsidRPr="000A6633">
        <w:t>Attendance</w:t>
      </w:r>
      <w:bookmarkEnd w:id="30"/>
    </w:p>
    <w:p w14:paraId="54F8C44F" w14:textId="77777777" w:rsidR="00E34635" w:rsidRPr="000A6633" w:rsidRDefault="00E34635" w:rsidP="00E34635">
      <w:pPr>
        <w:rPr>
          <w:rFonts w:ascii="Calibri" w:eastAsia="Calibri" w:hAnsi="Calibri" w:cs="Calibri"/>
          <w:b w:val="0"/>
          <w:szCs w:val="24"/>
        </w:rPr>
      </w:pPr>
      <w:bookmarkStart w:id="31" w:name="_Hlk522105853"/>
      <w:r w:rsidRPr="000A6633">
        <w:rPr>
          <w:rFonts w:ascii="Calibri" w:eastAsia="Calibri" w:hAnsi="Calibri" w:cs="Calibri"/>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68FE49A" w14:textId="77777777" w:rsidR="003F60FC" w:rsidRPr="000A6633" w:rsidRDefault="003F60FC" w:rsidP="008B718A">
      <w:pPr>
        <w:pStyle w:val="Heading2"/>
      </w:pPr>
      <w:bookmarkStart w:id="32" w:name="_Toc12350817"/>
      <w:bookmarkEnd w:id="31"/>
      <w:r w:rsidRPr="000A6633">
        <w:t>Academic Integrity</w:t>
      </w:r>
      <w:bookmarkEnd w:id="32"/>
      <w:r w:rsidRPr="000A6633">
        <w:t xml:space="preserve"> </w:t>
      </w:r>
    </w:p>
    <w:p w14:paraId="4D25E021" w14:textId="241FF535" w:rsidR="002C7543" w:rsidRDefault="00121290" w:rsidP="00121290">
      <w:pPr>
        <w:rPr>
          <w:rStyle w:val="Hyperlink"/>
          <w:rFonts w:ascii="Calibri" w:hAnsi="Calibri" w:cs="Calibri"/>
          <w:b w:val="0"/>
          <w:szCs w:val="24"/>
        </w:rPr>
      </w:pPr>
      <w:r w:rsidRPr="000A6633">
        <w:rPr>
          <w:rFonts w:ascii="Calibri" w:hAnsi="Calibri" w:cs="Calibri"/>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rPr>
          <w:rFonts w:ascii="Calibri" w:hAnsi="Calibri" w:cs="Calibri"/>
          <w:b w:val="0"/>
          <w:szCs w:val="24"/>
        </w:rPr>
        <w:t>dishonesty,</w:t>
      </w:r>
      <w:r w:rsidRPr="000A6633">
        <w:rPr>
          <w:rFonts w:ascii="Calibri" w:hAnsi="Calibri" w:cs="Calibri"/>
          <w:b w:val="0"/>
          <w:szCs w:val="24"/>
        </w:rPr>
        <w:t xml:space="preserve"> please refer to the </w:t>
      </w:r>
      <w:hyperlink r:id="rId9" w:history="1">
        <w:r w:rsidRPr="000A6633">
          <w:rPr>
            <w:rStyle w:val="Hyperlink"/>
            <w:rFonts w:ascii="Calibri" w:hAnsi="Calibri" w:cs="Calibri"/>
            <w:b w:val="0"/>
            <w:szCs w:val="24"/>
          </w:rPr>
          <w:t>Academic Integrity Policy</w:t>
        </w:r>
      </w:hyperlink>
    </w:p>
    <w:p w14:paraId="790EB756" w14:textId="77777777" w:rsidR="002C7543" w:rsidRDefault="002C7543" w:rsidP="00121290">
      <w:pPr>
        <w:rPr>
          <w:rFonts w:ascii="Calibri" w:hAnsi="Calibri" w:cs="Calibri"/>
          <w:b w:val="0"/>
          <w:szCs w:val="24"/>
        </w:rPr>
      </w:pPr>
    </w:p>
    <w:p w14:paraId="2DFB67EE" w14:textId="77777777" w:rsidR="00121290" w:rsidRPr="000A6633" w:rsidRDefault="00121290" w:rsidP="00121290">
      <w:pPr>
        <w:rPr>
          <w:rFonts w:ascii="Calibri" w:hAnsi="Calibri" w:cs="Calibri"/>
          <w:b w:val="0"/>
          <w:szCs w:val="24"/>
        </w:rPr>
      </w:pPr>
      <w:r w:rsidRPr="000A6633">
        <w:rPr>
          <w:rFonts w:ascii="Calibri" w:hAnsi="Calibri" w:cs="Calibri"/>
          <w:b w:val="0"/>
          <w:szCs w:val="24"/>
        </w:rPr>
        <w:t xml:space="preserve"> The following illustrates only three forms of academic dishonesty:</w:t>
      </w:r>
    </w:p>
    <w:p w14:paraId="20CEE0C4" w14:textId="77777777" w:rsidR="00121290" w:rsidRPr="000A6633" w:rsidRDefault="00121290" w:rsidP="00121290">
      <w:pPr>
        <w:pStyle w:val="ListParagraph"/>
        <w:numPr>
          <w:ilvl w:val="0"/>
          <w:numId w:val="15"/>
        </w:numPr>
        <w:spacing w:after="0" w:line="240" w:lineRule="auto"/>
        <w:rPr>
          <w:rFonts w:eastAsia="Times New Roman" w:cs="Calibri"/>
          <w:b w:val="0"/>
          <w:sz w:val="24"/>
          <w:szCs w:val="24"/>
        </w:rPr>
      </w:pPr>
      <w:r w:rsidRPr="000A6633">
        <w:rPr>
          <w:rFonts w:eastAsia="Times New Roman" w:cs="Calibri"/>
          <w:b w:val="0"/>
          <w:sz w:val="24"/>
          <w:szCs w:val="24"/>
        </w:rPr>
        <w:t>Plagiarism, e.g. the submission of work that is not one’s own or for which other credit has been obtained.</w:t>
      </w:r>
    </w:p>
    <w:p w14:paraId="3B9187BC" w14:textId="77777777" w:rsidR="00121290" w:rsidRPr="000A6633" w:rsidRDefault="00121290" w:rsidP="00121290">
      <w:pPr>
        <w:pStyle w:val="ListParagraph"/>
        <w:numPr>
          <w:ilvl w:val="0"/>
          <w:numId w:val="16"/>
        </w:numPr>
        <w:spacing w:after="0" w:line="240" w:lineRule="auto"/>
        <w:rPr>
          <w:rFonts w:eastAsia="Times New Roman" w:cs="Calibri"/>
          <w:b w:val="0"/>
          <w:sz w:val="24"/>
          <w:szCs w:val="24"/>
        </w:rPr>
      </w:pPr>
      <w:r w:rsidRPr="000A6633">
        <w:rPr>
          <w:rFonts w:eastAsia="Times New Roman" w:cs="Calibri"/>
          <w:b w:val="0"/>
          <w:sz w:val="24"/>
          <w:szCs w:val="24"/>
        </w:rPr>
        <w:t>Improper collaboration in group work.</w:t>
      </w:r>
    </w:p>
    <w:p w14:paraId="59110A8A" w14:textId="77777777" w:rsidR="00121290" w:rsidRPr="000A6633" w:rsidRDefault="00121290" w:rsidP="00121290">
      <w:pPr>
        <w:pStyle w:val="ListParagraph"/>
        <w:numPr>
          <w:ilvl w:val="0"/>
          <w:numId w:val="16"/>
        </w:numPr>
        <w:spacing w:after="0" w:line="240" w:lineRule="auto"/>
        <w:rPr>
          <w:rFonts w:eastAsia="Times New Roman" w:cs="Calibri"/>
          <w:sz w:val="24"/>
          <w:szCs w:val="24"/>
        </w:rPr>
      </w:pPr>
      <w:r w:rsidRPr="000A6633">
        <w:rPr>
          <w:rFonts w:eastAsia="Times New Roman" w:cs="Calibri"/>
          <w:b w:val="0"/>
          <w:sz w:val="24"/>
          <w:szCs w:val="24"/>
        </w:rPr>
        <w:t>Copying or using unauthorized aids in tests and examinations</w:t>
      </w:r>
    </w:p>
    <w:p w14:paraId="7DCE48C4" w14:textId="6FEC1ADF" w:rsidR="00345050" w:rsidRPr="000A6633" w:rsidRDefault="00345050" w:rsidP="008B718A">
      <w:pPr>
        <w:pStyle w:val="Heading2"/>
      </w:pPr>
      <w:bookmarkStart w:id="33" w:name="_Toc12350818"/>
      <w:r w:rsidRPr="000A6633">
        <w:t xml:space="preserve">Authenticity/Plagiarism Detection </w:t>
      </w:r>
      <w:bookmarkEnd w:id="33"/>
    </w:p>
    <w:p w14:paraId="6DCA71F9" w14:textId="77777777" w:rsidR="00345050" w:rsidRPr="000A6633" w:rsidRDefault="00345050" w:rsidP="00345050">
      <w:pPr>
        <w:rPr>
          <w:rFonts w:ascii="Calibri" w:hAnsi="Calibri" w:cs="Calibri"/>
          <w:b w:val="0"/>
        </w:rPr>
      </w:pPr>
      <w:r w:rsidRPr="000A6633">
        <w:rPr>
          <w:rFonts w:ascii="Calibri" w:hAnsi="Calibri" w:cs="Calibri"/>
          <w:b w:val="0"/>
        </w:rPr>
        <w:t xml:space="preserve">In this </w:t>
      </w:r>
      <w:r w:rsidR="00C114E6" w:rsidRPr="000A6633">
        <w:rPr>
          <w:rFonts w:ascii="Calibri" w:hAnsi="Calibri" w:cs="Calibri"/>
          <w:b w:val="0"/>
        </w:rPr>
        <w:t>course,</w:t>
      </w:r>
      <w:r w:rsidRPr="000A6633">
        <w:rPr>
          <w:rFonts w:ascii="Calibri" w:hAnsi="Calibri" w:cs="Calibri"/>
          <w:b w:val="0"/>
        </w:rPr>
        <w:t xml:space="preserve"> we will be using a web-based service (Turnitin.com) to reveal authenticity and ownership of student submitted work. Students will be expected to submit their work electronically either directly to Turnitin.com or via Avenue to Learn (A2L) plagiarism detection </w:t>
      </w:r>
      <w:r w:rsidRPr="000A6633">
        <w:rPr>
          <w:rFonts w:ascii="Calibri" w:hAnsi="Calibri" w:cs="Calibri"/>
          <w:b w:val="0"/>
        </w:rPr>
        <w:lastRenderedPageBreak/>
        <w:t xml:space="preserve">(a service supported by Turnitin.com) so it can be checked for academic dishonesty. Students who do not wish to submit their work through A2L and/or Turnitin.com must still submit an </w:t>
      </w:r>
    </w:p>
    <w:p w14:paraId="0A835785" w14:textId="77777777" w:rsidR="00345050" w:rsidRPr="000A6633" w:rsidRDefault="00345050" w:rsidP="00345050">
      <w:pPr>
        <w:rPr>
          <w:rFonts w:ascii="Calibri" w:hAnsi="Calibri" w:cs="Calibri"/>
          <w:b w:val="0"/>
        </w:rPr>
      </w:pPr>
      <w:r w:rsidRPr="000A6633">
        <w:rPr>
          <w:rFonts w:ascii="Calibri" w:hAnsi="Calibri" w:cs="Calibri"/>
          <w:b w:val="0"/>
        </w:rPr>
        <w:t xml:space="preserve">electronic and/or hardcopy to the instructor. No penalty will be assigned to a student who does not submit work to Turnitin.com or A2L. All submitted work is subject to normal verification that standards of academic integrity have been upheld (e.g., on-line search, other software, </w:t>
      </w:r>
    </w:p>
    <w:p w14:paraId="6BC138BE" w14:textId="77777777" w:rsidR="00345050" w:rsidRPr="000A6633" w:rsidRDefault="00345050" w:rsidP="00345050">
      <w:pPr>
        <w:rPr>
          <w:rFonts w:ascii="Calibri" w:hAnsi="Calibri" w:cs="Calibri"/>
          <w:b w:val="0"/>
        </w:rPr>
      </w:pPr>
      <w:r w:rsidRPr="000A6633">
        <w:rPr>
          <w:rFonts w:ascii="Calibri" w:hAnsi="Calibri" w:cs="Calibri"/>
          <w:b w:val="0"/>
        </w:rPr>
        <w:t xml:space="preserve">etc.). To see the </w:t>
      </w:r>
      <w:hyperlink r:id="rId10" w:history="1">
        <w:r w:rsidRPr="005F68BC">
          <w:rPr>
            <w:rStyle w:val="Hyperlink"/>
            <w:rFonts w:ascii="Calibri" w:hAnsi="Calibri" w:cs="Calibri"/>
            <w:b w:val="0"/>
          </w:rPr>
          <w:t>Turnitin.com Policy</w:t>
        </w:r>
      </w:hyperlink>
      <w:r w:rsidRPr="000A6633">
        <w:rPr>
          <w:rFonts w:ascii="Calibri" w:hAnsi="Calibri" w:cs="Calibri"/>
          <w:b w:val="0"/>
        </w:rPr>
        <w:t xml:space="preserve">, </w:t>
      </w:r>
      <w:r w:rsidR="005F68BC" w:rsidRPr="00F0431F">
        <w:rPr>
          <w:rFonts w:ascii="Calibri" w:hAnsi="Calibri" w:cs="Calibri"/>
          <w:b w:val="0"/>
        </w:rPr>
        <w:t xml:space="preserve">Print </w:t>
      </w:r>
      <w:r w:rsidR="00E5793A" w:rsidRPr="00F0431F">
        <w:rPr>
          <w:rFonts w:ascii="Calibri" w:hAnsi="Calibri" w:cs="Calibri"/>
          <w:b w:val="0"/>
        </w:rPr>
        <w:t xml:space="preserve">URL </w:t>
      </w:r>
      <w:hyperlink r:id="rId11" w:history="1">
        <w:r w:rsidRPr="00F0431F">
          <w:rPr>
            <w:rStyle w:val="Hyperlink"/>
            <w:rFonts w:ascii="Calibri" w:hAnsi="Calibri" w:cs="Calibri"/>
            <w:b w:val="0"/>
            <w:szCs w:val="24"/>
          </w:rPr>
          <w:t>www.mcmaster.ca/academicintegrity</w:t>
        </w:r>
      </w:hyperlink>
      <w:r w:rsidRPr="00F0431F">
        <w:rPr>
          <w:rFonts w:ascii="Calibri" w:hAnsi="Calibri" w:cs="Calibri"/>
          <w:b w:val="0"/>
        </w:rPr>
        <w:t>.</w:t>
      </w:r>
    </w:p>
    <w:p w14:paraId="6EAAD066" w14:textId="77777777" w:rsidR="009B6AAE" w:rsidRPr="000A6633" w:rsidRDefault="009B6AAE" w:rsidP="008B718A">
      <w:pPr>
        <w:pStyle w:val="Heading2"/>
      </w:pPr>
      <w:bookmarkStart w:id="34" w:name="_Toc12350819"/>
      <w:r w:rsidRPr="000A6633">
        <w:t>Academic Accommodation of Students with Disabilities</w:t>
      </w:r>
      <w:bookmarkEnd w:id="34"/>
    </w:p>
    <w:p w14:paraId="55AA18B1" w14:textId="40460783" w:rsidR="00FC5C23" w:rsidRPr="005A606A" w:rsidRDefault="00FC5C23" w:rsidP="00FC5C23">
      <w:pPr>
        <w:rPr>
          <w:rFonts w:ascii="Calibri" w:hAnsi="Calibri" w:cs="Calibri"/>
          <w:b w:val="0"/>
          <w:szCs w:val="24"/>
          <w:lang w:val="en-CA"/>
        </w:rPr>
      </w:pPr>
      <w:r w:rsidRPr="000A6633">
        <w:rPr>
          <w:rFonts w:ascii="Calibri" w:hAnsi="Calibri" w:cs="Calibri"/>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2" w:history="1">
        <w:r w:rsidRPr="000A6633">
          <w:rPr>
            <w:rStyle w:val="Hyperlink"/>
            <w:rFonts w:ascii="Calibri" w:hAnsi="Calibri" w:cs="Calibri"/>
            <w:b w:val="0"/>
            <w:szCs w:val="24"/>
          </w:rPr>
          <w:t>sas@mcmaster.ca</w:t>
        </w:r>
      </w:hyperlink>
      <w:r w:rsidRPr="000A6633">
        <w:rPr>
          <w:rFonts w:ascii="Calibri" w:hAnsi="Calibri" w:cs="Calibri"/>
          <w:b w:val="0"/>
          <w:szCs w:val="24"/>
        </w:rPr>
        <w:t xml:space="preserve">  For further information, consult McMaster University’s </w:t>
      </w:r>
      <w:hyperlink r:id="rId13" w:history="1">
        <w:r w:rsidRPr="000A6633">
          <w:rPr>
            <w:rStyle w:val="Hyperlink"/>
            <w:rFonts w:ascii="Calibri" w:hAnsi="Calibri" w:cs="Calibri"/>
            <w:b w:val="0"/>
            <w:szCs w:val="24"/>
          </w:rPr>
          <w:t>Academic Accommodation of Students with Disabilities</w:t>
        </w:r>
      </w:hyperlink>
      <w:r w:rsidRPr="000A6633">
        <w:rPr>
          <w:rFonts w:ascii="Calibri" w:hAnsi="Calibri" w:cs="Calibri"/>
          <w:b w:val="0"/>
          <w:szCs w:val="24"/>
        </w:rPr>
        <w:t xml:space="preserve"> policy.</w:t>
      </w:r>
      <w:r w:rsidR="00E5793A" w:rsidRPr="005A606A">
        <w:rPr>
          <w:rFonts w:ascii="Calibri" w:hAnsi="Calibri" w:cs="Calibri"/>
          <w:b w:val="0"/>
          <w:szCs w:val="24"/>
          <w:lang w:val="en-CA"/>
        </w:rPr>
        <w:t xml:space="preserve"> </w:t>
      </w:r>
    </w:p>
    <w:p w14:paraId="79820F5F" w14:textId="77777777" w:rsidR="000569EF" w:rsidRPr="000A6633" w:rsidRDefault="000569EF" w:rsidP="008B718A">
      <w:pPr>
        <w:pStyle w:val="Heading2"/>
      </w:pPr>
      <w:bookmarkStart w:id="35" w:name="_Hlk522105905"/>
      <w:r w:rsidRPr="000A6633">
        <w:t>Accessibility Statement</w:t>
      </w:r>
    </w:p>
    <w:p w14:paraId="0D949DE2" w14:textId="77777777" w:rsidR="000569EF" w:rsidRPr="000A6633" w:rsidRDefault="000569EF" w:rsidP="000569EF">
      <w:pPr>
        <w:spacing w:after="200"/>
        <w:rPr>
          <w:rFonts w:ascii="Calibri" w:eastAsia="Calibri" w:hAnsi="Calibri" w:cs="Calibri"/>
          <w:b w:val="0"/>
          <w:color w:val="000000"/>
          <w:szCs w:val="24"/>
        </w:rPr>
      </w:pPr>
      <w:r w:rsidRPr="000A6633">
        <w:rPr>
          <w:rFonts w:ascii="Calibri" w:eastAsia="Calibri" w:hAnsi="Calibri" w:cs="Calibri"/>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1979B002" w14:textId="77777777" w:rsidR="006735C2" w:rsidRPr="000A6633" w:rsidRDefault="006735C2" w:rsidP="008B718A">
      <w:pPr>
        <w:pStyle w:val="Heading2"/>
        <w:rPr>
          <w:sz w:val="36"/>
          <w:szCs w:val="36"/>
        </w:rPr>
      </w:pPr>
      <w:bookmarkStart w:id="36" w:name="_Toc12350820"/>
      <w:bookmarkStart w:id="37" w:name="_Hlk522105999"/>
      <w:bookmarkEnd w:id="35"/>
      <w:r w:rsidRPr="000A6633">
        <w:t>Religious, Indigenous and Spiritual Observances (RISO)</w:t>
      </w:r>
      <w:bookmarkEnd w:id="36"/>
    </w:p>
    <w:p w14:paraId="6C620C73" w14:textId="77777777" w:rsidR="00265711" w:rsidRPr="000A6633" w:rsidRDefault="00265711" w:rsidP="006735C2">
      <w:pPr>
        <w:rPr>
          <w:rFonts w:ascii="Calibri" w:hAnsi="Calibri" w:cs="Calibri"/>
          <w:b w:val="0"/>
          <w:color w:val="000000"/>
          <w:szCs w:val="24"/>
        </w:rPr>
      </w:pPr>
      <w:r w:rsidRPr="000A6633">
        <w:rPr>
          <w:rFonts w:ascii="Calibri" w:hAnsi="Calibri" w:cs="Calibri"/>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08847BCF" w14:textId="5F3BD9B5" w:rsidR="006735C2" w:rsidRDefault="006735C2" w:rsidP="006735C2">
      <w:pPr>
        <w:rPr>
          <w:rFonts w:ascii="Calibri" w:hAnsi="Calibri" w:cs="Calibri"/>
          <w:b w:val="0"/>
          <w:color w:val="000000"/>
          <w:szCs w:val="24"/>
        </w:rPr>
      </w:pPr>
      <w:r w:rsidRPr="000A6633">
        <w:rPr>
          <w:rFonts w:ascii="Calibri" w:hAnsi="Calibri" w:cs="Calibri"/>
          <w:b w:val="0"/>
          <w:color w:val="000000"/>
          <w:szCs w:val="24"/>
        </w:rPr>
        <w:t xml:space="preserve">Please review the </w:t>
      </w:r>
      <w:hyperlink r:id="rId14" w:history="1">
        <w:r w:rsidRPr="000A6633">
          <w:rPr>
            <w:rStyle w:val="Hyperlink"/>
            <w:rFonts w:ascii="Calibri" w:hAnsi="Calibri" w:cs="Calibri"/>
            <w:b w:val="0"/>
            <w:szCs w:val="24"/>
          </w:rPr>
          <w:t>RISO information for students in the Faculty of Social Sciences</w:t>
        </w:r>
      </w:hyperlink>
      <w:r w:rsidRPr="000A6633">
        <w:rPr>
          <w:rFonts w:ascii="Calibri" w:hAnsi="Calibri" w:cs="Calibri"/>
          <w:b w:val="0"/>
          <w:color w:val="000000"/>
          <w:szCs w:val="24"/>
        </w:rPr>
        <w:t xml:space="preserve"> about how to request accommodation.</w:t>
      </w:r>
      <w:r w:rsidR="00E5793A">
        <w:rPr>
          <w:rFonts w:ascii="Calibri" w:hAnsi="Calibri" w:cs="Calibri"/>
          <w:b w:val="0"/>
          <w:color w:val="000000"/>
          <w:szCs w:val="24"/>
        </w:rPr>
        <w:t xml:space="preserve"> </w:t>
      </w:r>
    </w:p>
    <w:p w14:paraId="5D8E7A8E" w14:textId="77777777" w:rsidR="003F60FC" w:rsidRPr="000A6633" w:rsidRDefault="003F60FC" w:rsidP="008B718A">
      <w:pPr>
        <w:pStyle w:val="Heading2"/>
      </w:pPr>
      <w:bookmarkStart w:id="38" w:name="_Toc12350821"/>
      <w:bookmarkEnd w:id="37"/>
      <w:r w:rsidRPr="000A6633">
        <w:t>E-mail Communication Policy</w:t>
      </w:r>
      <w:bookmarkEnd w:id="38"/>
      <w:r w:rsidRPr="000A6633">
        <w:t xml:space="preserve"> </w:t>
      </w:r>
    </w:p>
    <w:p w14:paraId="3E0088EE" w14:textId="77777777" w:rsidR="00F439A1" w:rsidRPr="000A6633" w:rsidRDefault="00F439A1" w:rsidP="00F439A1">
      <w:pPr>
        <w:rPr>
          <w:rFonts w:ascii="Calibri" w:hAnsi="Calibri" w:cs="Calibri"/>
          <w:b w:val="0"/>
          <w:szCs w:val="24"/>
        </w:rPr>
      </w:pPr>
      <w:bookmarkStart w:id="39" w:name="_Hlk522105948"/>
      <w:r w:rsidRPr="000A6633">
        <w:rPr>
          <w:rFonts w:ascii="Calibri" w:hAnsi="Calibri" w:cs="Calibri"/>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3591E927" w14:textId="77777777" w:rsidR="008A3DC7" w:rsidRPr="000A6633" w:rsidRDefault="008A3DC7" w:rsidP="008B718A">
      <w:pPr>
        <w:pStyle w:val="Heading2"/>
      </w:pPr>
      <w:bookmarkStart w:id="40" w:name="_Toc12350822"/>
      <w:bookmarkEnd w:id="39"/>
      <w:r w:rsidRPr="000A6633">
        <w:lastRenderedPageBreak/>
        <w:t xml:space="preserve">Requests </w:t>
      </w:r>
      <w:r w:rsidR="00C114E6" w:rsidRPr="000A6633">
        <w:t>for</w:t>
      </w:r>
      <w:r w:rsidRPr="000A6633">
        <w:t xml:space="preserve"> Relief </w:t>
      </w:r>
      <w:r w:rsidR="00C114E6" w:rsidRPr="000A6633">
        <w:t>for</w:t>
      </w:r>
      <w:r w:rsidRPr="000A6633">
        <w:t xml:space="preserve"> Missed Academic Term Work</w:t>
      </w:r>
      <w:bookmarkEnd w:id="40"/>
    </w:p>
    <w:p w14:paraId="39AA5D14" w14:textId="77777777" w:rsidR="008A3DC7" w:rsidRPr="000A6633" w:rsidRDefault="008A3DC7" w:rsidP="00EC0618">
      <w:pPr>
        <w:pStyle w:val="Heading3"/>
      </w:pPr>
      <w:r w:rsidRPr="000A6633">
        <w:t>McMaster Student Absence Form (MSAF)</w:t>
      </w:r>
    </w:p>
    <w:p w14:paraId="57C18EEC" w14:textId="77777777" w:rsidR="008A3DC7" w:rsidRPr="000A6633" w:rsidRDefault="008A3DC7" w:rsidP="008A3DC7">
      <w:pPr>
        <w:rPr>
          <w:rFonts w:ascii="Calibri" w:hAnsi="Calibri" w:cs="Calibri"/>
          <w:b w:val="0"/>
          <w:szCs w:val="24"/>
        </w:rPr>
      </w:pPr>
      <w:r w:rsidRPr="000A6633">
        <w:rPr>
          <w:rFonts w:ascii="Calibri" w:hAnsi="Calibri" w:cs="Calibri"/>
          <w:b w:val="0"/>
          <w:szCs w:val="24"/>
        </w:rPr>
        <w:t>In the event of an absence for medical or other reasons, students should review and follow the Academic Regulation in the Undergraduate Calendar “Requests for Relief for Missed Academic Term Work”.</w:t>
      </w:r>
    </w:p>
    <w:p w14:paraId="3794D897" w14:textId="77777777" w:rsidR="00F439A1" w:rsidRPr="000A6633" w:rsidRDefault="00F439A1" w:rsidP="00EC0618">
      <w:pPr>
        <w:pStyle w:val="Heading3"/>
      </w:pPr>
      <w:bookmarkStart w:id="41" w:name="_Hlk522106028"/>
      <w:r w:rsidRPr="000A6633">
        <w:t>Extensions and Incomplete Courses</w:t>
      </w:r>
    </w:p>
    <w:p w14:paraId="6445DF10" w14:textId="77777777" w:rsidR="00F439A1" w:rsidRPr="000A6633" w:rsidRDefault="00F439A1" w:rsidP="00795072">
      <w:pPr>
        <w:pStyle w:val="Header4"/>
      </w:pPr>
      <w:r w:rsidRPr="000A6633">
        <w:t xml:space="preserve">Extensions </w:t>
      </w:r>
    </w:p>
    <w:p w14:paraId="678B4A38" w14:textId="77777777" w:rsidR="00F439A1" w:rsidRPr="000A6633"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A6633">
        <w:rPr>
          <w:rFonts w:ascii="Calibri" w:eastAsia="Calibri" w:hAnsi="Calibri" w:cs="Calibri"/>
          <w:bCs/>
          <w:color w:val="000000"/>
          <w:szCs w:val="24"/>
        </w:rPr>
        <w:t>in advance</w:t>
      </w:r>
      <w:r w:rsidRPr="000A6633">
        <w:rPr>
          <w:rFonts w:ascii="Calibri" w:eastAsia="Calibri" w:hAnsi="Calibri" w:cs="Calibri"/>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5" w:history="1">
        <w:r w:rsidRPr="000A6633">
          <w:rPr>
            <w:rFonts w:ascii="Calibri" w:eastAsia="Calibri" w:hAnsi="Calibri" w:cs="Calibri"/>
            <w:b w:val="0"/>
            <w:color w:val="0563C1"/>
            <w:szCs w:val="24"/>
            <w:u w:val="single"/>
          </w:rPr>
          <w:t>millet@mcmaster.ca</w:t>
        </w:r>
      </w:hyperlink>
      <w:r w:rsidRPr="000A6633">
        <w:rPr>
          <w:rFonts w:ascii="Calibri" w:eastAsia="Calibri" w:hAnsi="Calibri" w:cs="Calibri"/>
          <w:b w:val="0"/>
          <w:color w:val="000000"/>
          <w:szCs w:val="24"/>
        </w:rPr>
        <w:t xml:space="preserve"> ) or Sa</w:t>
      </w:r>
      <w:r w:rsidR="00544457" w:rsidRPr="000A6633">
        <w:rPr>
          <w:rFonts w:ascii="Calibri" w:eastAsia="Calibri" w:hAnsi="Calibri" w:cs="Calibri"/>
          <w:b w:val="0"/>
          <w:color w:val="000000"/>
          <w:szCs w:val="24"/>
        </w:rPr>
        <w:t>ndra Preston</w:t>
      </w:r>
      <w:r w:rsidRPr="000A6633">
        <w:rPr>
          <w:rFonts w:ascii="Calibri" w:eastAsia="Calibri" w:hAnsi="Calibri" w:cs="Calibri"/>
          <w:b w:val="0"/>
          <w:color w:val="000000"/>
          <w:szCs w:val="24"/>
        </w:rPr>
        <w:t>, Undergraduate Chair (</w:t>
      </w:r>
      <w:hyperlink r:id="rId16" w:history="1">
        <w:r w:rsidR="00544457" w:rsidRPr="000A6633">
          <w:rPr>
            <w:rStyle w:val="Hyperlink"/>
            <w:rFonts w:ascii="Calibri" w:eastAsia="Calibri" w:hAnsi="Calibri" w:cs="Calibri"/>
            <w:b w:val="0"/>
            <w:szCs w:val="24"/>
          </w:rPr>
          <w:t>prestosl@mcmaster.ca</w:t>
        </w:r>
      </w:hyperlink>
      <w:r w:rsidRPr="000A6633">
        <w:rPr>
          <w:rFonts w:ascii="Calibri" w:eastAsia="Calibri" w:hAnsi="Calibri" w:cs="Calibri"/>
          <w:b w:val="0"/>
          <w:color w:val="000000"/>
          <w:szCs w:val="24"/>
        </w:rPr>
        <w:t xml:space="preserve"> ). We are here to support you to think about options (such as reducing your course load) that can take the stress off and contribute to your success in the program overall. </w:t>
      </w:r>
    </w:p>
    <w:p w14:paraId="65AB2547" w14:textId="77777777" w:rsidR="00F439A1" w:rsidRPr="000A6633" w:rsidRDefault="00F439A1" w:rsidP="00795072">
      <w:pPr>
        <w:pStyle w:val="Header4"/>
      </w:pPr>
      <w:r w:rsidRPr="000A6633">
        <w:t xml:space="preserve">Incomplete courses </w:t>
      </w:r>
    </w:p>
    <w:p w14:paraId="71C1F3F3" w14:textId="77777777" w:rsidR="00F439A1" w:rsidRPr="000A6633"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0A6633">
        <w:rPr>
          <w:rFonts w:ascii="Calibri" w:eastAsia="Calibri" w:hAnsi="Calibri" w:cs="Calibri"/>
          <w:b w:val="0"/>
          <w:color w:val="000000"/>
          <w:szCs w:val="24"/>
        </w:rPr>
        <w:t>agrees,</w:t>
      </w:r>
      <w:r w:rsidRPr="000A6633">
        <w:rPr>
          <w:rFonts w:ascii="Calibri" w:eastAsia="Calibri" w:hAnsi="Calibri" w:cs="Calibri"/>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A87F836" w14:textId="77777777" w:rsidR="002C7543"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The School’s requirements </w:t>
      </w:r>
      <w:r w:rsidRPr="000A6633">
        <w:rPr>
          <w:rFonts w:ascii="Calibri" w:eastAsia="Calibri" w:hAnsi="Calibri" w:cs="Calibri"/>
          <w:b w:val="0"/>
          <w:szCs w:val="24"/>
        </w:rPr>
        <w:t xml:space="preserve">for completing courses depend on a) the nature of the course (whether it is a foundation course*, or a social and political context course) and b) when you are hoping to start placement. For example, a </w:t>
      </w:r>
      <w:r w:rsidRPr="000A6633">
        <w:rPr>
          <w:rFonts w:ascii="Calibri" w:eastAsia="Calibri" w:hAnsi="Calibri" w:cs="Calibri"/>
          <w:b w:val="0"/>
          <w:color w:val="000000"/>
          <w:szCs w:val="24"/>
        </w:rPr>
        <w:t xml:space="preserve">student who has an incomplete in a foundation course cannot start placement. Please see the </w:t>
      </w:r>
      <w:hyperlink r:id="rId17" w:history="1">
        <w:r w:rsidRPr="00602AF4">
          <w:rPr>
            <w:rStyle w:val="Hyperlink"/>
            <w:rFonts w:ascii="Calibri" w:eastAsia="Calibri" w:hAnsi="Calibri" w:cs="Calibri"/>
            <w:b w:val="0"/>
            <w:szCs w:val="24"/>
          </w:rPr>
          <w:t>Policy on Extensions and Incompletes in the BSW Program</w:t>
        </w:r>
      </w:hyperlink>
      <w:r w:rsidRPr="000A6633">
        <w:rPr>
          <w:rFonts w:ascii="Calibri" w:eastAsia="Calibri" w:hAnsi="Calibri" w:cs="Calibri"/>
          <w:b w:val="0"/>
          <w:color w:val="000000"/>
          <w:szCs w:val="24"/>
        </w:rPr>
        <w:t xml:space="preserve"> for more details.</w:t>
      </w:r>
    </w:p>
    <w:p w14:paraId="38B8A558" w14:textId="35781344" w:rsidR="00F439A1" w:rsidRPr="000A6633" w:rsidRDefault="002C7543"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 </w:t>
      </w:r>
    </w:p>
    <w:p w14:paraId="1EABE262" w14:textId="77777777" w:rsidR="00F439A1" w:rsidRPr="000A6633" w:rsidRDefault="00F439A1" w:rsidP="00F439A1">
      <w:pPr>
        <w:rPr>
          <w:rFonts w:ascii="Calibri" w:eastAsia="Calibri" w:hAnsi="Calibri" w:cs="Calibri"/>
          <w:b w:val="0"/>
          <w:color w:val="000000"/>
          <w:szCs w:val="24"/>
        </w:rPr>
      </w:pPr>
      <w:r w:rsidRPr="000A6633">
        <w:rPr>
          <w:rFonts w:ascii="Calibri" w:eastAsia="Calibri" w:hAnsi="Calibri" w:cs="Calibri"/>
          <w:b w:val="0"/>
          <w:szCs w:val="24"/>
        </w:rPr>
        <w:t xml:space="preserve">At approximately 52-60 days after the end of term, </w:t>
      </w:r>
      <w:r w:rsidRPr="000A6633">
        <w:rPr>
          <w:rFonts w:ascii="Calibri" w:eastAsia="Calibri" w:hAnsi="Calibri" w:cs="Calibri"/>
          <w:b w:val="0"/>
          <w:color w:val="000000"/>
          <w:szCs w:val="24"/>
        </w:rPr>
        <w:t xml:space="preserve">the Mosaic system will automatically change an INC to the default grade. Depending on the default grade, this might affect your standing or progress in the program. </w:t>
      </w:r>
    </w:p>
    <w:p w14:paraId="43189308" w14:textId="77777777" w:rsidR="00F439A1" w:rsidRPr="000A6633" w:rsidRDefault="00F439A1" w:rsidP="00F439A1">
      <w:pPr>
        <w:rPr>
          <w:rFonts w:ascii="Calibri" w:eastAsia="Calibri" w:hAnsi="Calibri" w:cs="Calibri"/>
          <w:b w:val="0"/>
          <w:szCs w:val="24"/>
        </w:rPr>
      </w:pPr>
      <w:r w:rsidRPr="000A6633">
        <w:rPr>
          <w:rFonts w:ascii="Calibri" w:eastAsia="Calibri" w:hAnsi="Calibri" w:cs="Calibri"/>
          <w:b w:val="0"/>
          <w:i/>
          <w:iCs/>
          <w:color w:val="000000"/>
          <w:szCs w:val="24"/>
        </w:rPr>
        <w:t xml:space="preserve">As always, </w:t>
      </w:r>
      <w:r w:rsidRPr="000A6633">
        <w:rPr>
          <w:rFonts w:ascii="Calibri" w:eastAsia="Calibri" w:hAnsi="Calibri" w:cs="Calibri"/>
          <w:b w:val="0"/>
          <w:i/>
          <w:iCs/>
          <w:szCs w:val="24"/>
        </w:rPr>
        <w:t>if you have any questions or concerns about your progress in the program, please connect with Tammy Maikawa, Administrator (</w:t>
      </w:r>
      <w:hyperlink r:id="rId18" w:history="1">
        <w:r w:rsidRPr="000A6633">
          <w:rPr>
            <w:rFonts w:ascii="Calibri" w:eastAsia="Calibri" w:hAnsi="Calibri" w:cs="Calibri"/>
            <w:b w:val="0"/>
            <w:i/>
            <w:iCs/>
            <w:color w:val="0563C1"/>
            <w:szCs w:val="24"/>
            <w:u w:val="single"/>
          </w:rPr>
          <w:t>millet@mcmaster.ca</w:t>
        </w:r>
      </w:hyperlink>
      <w:r w:rsidRPr="000A6633">
        <w:rPr>
          <w:rFonts w:ascii="Calibri" w:eastAsia="Calibri" w:hAnsi="Calibri" w:cs="Calibri"/>
          <w:b w:val="0"/>
          <w:i/>
          <w:iCs/>
          <w:szCs w:val="24"/>
        </w:rPr>
        <w:t xml:space="preserve"> ) or S</w:t>
      </w:r>
      <w:r w:rsidR="00544457" w:rsidRPr="000A6633">
        <w:rPr>
          <w:rFonts w:ascii="Calibri" w:eastAsia="Calibri" w:hAnsi="Calibri" w:cs="Calibri"/>
          <w:b w:val="0"/>
          <w:i/>
          <w:iCs/>
          <w:szCs w:val="24"/>
        </w:rPr>
        <w:t>andra Preston</w:t>
      </w:r>
      <w:r w:rsidRPr="000A6633">
        <w:rPr>
          <w:rFonts w:ascii="Calibri" w:eastAsia="Calibri" w:hAnsi="Calibri" w:cs="Calibri"/>
          <w:b w:val="0"/>
          <w:i/>
          <w:iCs/>
          <w:szCs w:val="24"/>
        </w:rPr>
        <w:t>, Undergraduate Chair (</w:t>
      </w:r>
      <w:hyperlink r:id="rId19" w:history="1">
        <w:r w:rsidR="00544457" w:rsidRPr="000A6633">
          <w:rPr>
            <w:rStyle w:val="Hyperlink"/>
            <w:rFonts w:ascii="Calibri" w:eastAsia="Calibri" w:hAnsi="Calibri" w:cs="Calibri"/>
            <w:b w:val="0"/>
            <w:i/>
            <w:iCs/>
            <w:szCs w:val="24"/>
          </w:rPr>
          <w:t>prestosl@mcmaster.ca</w:t>
        </w:r>
      </w:hyperlink>
      <w:r w:rsidRPr="000A6633">
        <w:rPr>
          <w:rFonts w:ascii="Calibri" w:eastAsia="Calibri" w:hAnsi="Calibri" w:cs="Calibri"/>
          <w:b w:val="0"/>
          <w:i/>
          <w:iCs/>
          <w:szCs w:val="24"/>
        </w:rPr>
        <w:t>).</w:t>
      </w:r>
    </w:p>
    <w:p w14:paraId="096A11BF" w14:textId="77777777" w:rsidR="0081713C" w:rsidRDefault="0081713C">
      <w:pPr>
        <w:rPr>
          <w:rFonts w:eastAsia="MS Gothic" w:cs="Calibri"/>
          <w:bCs/>
          <w:color w:val="000000"/>
          <w:sz w:val="32"/>
          <w:szCs w:val="28"/>
        </w:rPr>
      </w:pPr>
      <w:bookmarkStart w:id="42" w:name="_Toc12350823"/>
      <w:bookmarkStart w:id="43" w:name="_Toc12438433"/>
      <w:bookmarkEnd w:id="41"/>
      <w:r>
        <w:br w:type="page"/>
      </w:r>
    </w:p>
    <w:p w14:paraId="20CD740C" w14:textId="65A516D7" w:rsidR="00DE6FAF" w:rsidRPr="00410B29" w:rsidRDefault="00DE6FAF" w:rsidP="003F0E2E">
      <w:pPr>
        <w:pStyle w:val="Heading1"/>
      </w:pPr>
      <w:r w:rsidRPr="00410B29">
        <w:lastRenderedPageBreak/>
        <w:t>Course Weekly Topics and Readings</w:t>
      </w:r>
      <w:bookmarkEnd w:id="42"/>
      <w:bookmarkEnd w:id="43"/>
    </w:p>
    <w:p w14:paraId="04E9B78C" w14:textId="48EDE075" w:rsidR="00DE6FAF" w:rsidRPr="008B718A" w:rsidRDefault="003D468A" w:rsidP="008B718A">
      <w:pPr>
        <w:pStyle w:val="Heading2"/>
      </w:pPr>
      <w:bookmarkStart w:id="44" w:name="_Toc12350824"/>
      <w:r w:rsidRPr="008B718A">
        <w:t xml:space="preserve">Week 1: </w:t>
      </w:r>
      <w:bookmarkEnd w:id="44"/>
      <w:r w:rsidR="0040206C" w:rsidRPr="008B718A">
        <w:t>January 7, 2020</w:t>
      </w:r>
    </w:p>
    <w:p w14:paraId="15331867" w14:textId="77777777" w:rsidR="003D468A" w:rsidRPr="00410B29" w:rsidRDefault="003D468A" w:rsidP="00410B29">
      <w:pPr>
        <w:pStyle w:val="Heading3"/>
      </w:pPr>
      <w:r w:rsidRPr="00410B29">
        <w:t>Topics:</w:t>
      </w:r>
    </w:p>
    <w:p w14:paraId="643BF724" w14:textId="2E4C2007" w:rsidR="003D468A" w:rsidRPr="000A6633" w:rsidRDefault="003876B3" w:rsidP="005438F5">
      <w:pPr>
        <w:numPr>
          <w:ilvl w:val="0"/>
          <w:numId w:val="11"/>
        </w:numPr>
        <w:ind w:left="1080"/>
        <w:rPr>
          <w:rFonts w:ascii="Calibri" w:hAnsi="Calibri" w:cs="Calibri"/>
          <w:b w:val="0"/>
        </w:rPr>
      </w:pPr>
      <w:r>
        <w:rPr>
          <w:rFonts w:ascii="Calibri" w:hAnsi="Calibri" w:cs="Calibri"/>
          <w:b w:val="0"/>
        </w:rPr>
        <w:t>Introducing sexuality within social work</w:t>
      </w:r>
    </w:p>
    <w:p w14:paraId="6B85041B" w14:textId="3DED17F3" w:rsidR="003D468A" w:rsidRDefault="003876B3" w:rsidP="005438F5">
      <w:pPr>
        <w:numPr>
          <w:ilvl w:val="0"/>
          <w:numId w:val="11"/>
        </w:numPr>
        <w:ind w:left="1080"/>
        <w:rPr>
          <w:rFonts w:ascii="Calibri" w:hAnsi="Calibri" w:cs="Calibri"/>
          <w:b w:val="0"/>
        </w:rPr>
      </w:pPr>
      <w:r>
        <w:rPr>
          <w:rFonts w:ascii="Calibri" w:hAnsi="Calibri" w:cs="Calibri"/>
          <w:b w:val="0"/>
        </w:rPr>
        <w:t>Review of course objectives and requirements</w:t>
      </w:r>
    </w:p>
    <w:p w14:paraId="4BBCA03D" w14:textId="46D3A82C" w:rsidR="008B718A" w:rsidRPr="000A6633" w:rsidRDefault="008B718A" w:rsidP="005438F5">
      <w:pPr>
        <w:numPr>
          <w:ilvl w:val="0"/>
          <w:numId w:val="11"/>
        </w:numPr>
        <w:ind w:left="1080"/>
        <w:rPr>
          <w:rFonts w:ascii="Calibri" w:hAnsi="Calibri" w:cs="Calibri"/>
          <w:b w:val="0"/>
        </w:rPr>
      </w:pPr>
      <w:r>
        <w:rPr>
          <w:rFonts w:ascii="Calibri" w:hAnsi="Calibri" w:cs="Calibri"/>
          <w:b w:val="0"/>
        </w:rPr>
        <w:t>Student Group Presentations (Group Sign-up)</w:t>
      </w:r>
    </w:p>
    <w:p w14:paraId="68FB6C74" w14:textId="77777777" w:rsidR="003D468A" w:rsidRPr="00410B29" w:rsidRDefault="003D468A" w:rsidP="00410B29">
      <w:pPr>
        <w:pStyle w:val="Heading3"/>
      </w:pPr>
      <w:r w:rsidRPr="00410B29">
        <w:t>Readings:</w:t>
      </w:r>
    </w:p>
    <w:p w14:paraId="2F606F9C" w14:textId="6CBF8689" w:rsidR="00BD468A" w:rsidRPr="00BD468A" w:rsidRDefault="00BA4D7D" w:rsidP="00BD468A">
      <w:pPr>
        <w:pStyle w:val="ListParagraph"/>
        <w:numPr>
          <w:ilvl w:val="0"/>
          <w:numId w:val="12"/>
        </w:numPr>
        <w:rPr>
          <w:rFonts w:eastAsia="Times New Roman" w:cs="Calibri"/>
          <w:b w:val="0"/>
          <w:sz w:val="24"/>
          <w:szCs w:val="20"/>
          <w:lang w:val="en-US"/>
        </w:rPr>
      </w:pPr>
      <w:r>
        <w:rPr>
          <w:rFonts w:eastAsia="Times New Roman" w:cs="Calibri"/>
          <w:b w:val="0"/>
          <w:sz w:val="24"/>
          <w:szCs w:val="20"/>
          <w:lang w:val="en-US"/>
        </w:rPr>
        <w:t xml:space="preserve">Introduction </w:t>
      </w:r>
      <w:r w:rsidR="00BD468A" w:rsidRPr="00BD468A">
        <w:rPr>
          <w:rFonts w:eastAsia="Times New Roman" w:cs="Calibri"/>
          <w:b w:val="0"/>
          <w:sz w:val="24"/>
          <w:szCs w:val="20"/>
          <w:lang w:val="en-US"/>
        </w:rPr>
        <w:t>(O’Neill, Swan &amp; Mulé, 2015)</w:t>
      </w:r>
    </w:p>
    <w:p w14:paraId="14471083" w14:textId="3AAAF655" w:rsidR="003D468A" w:rsidRDefault="003876B3" w:rsidP="00A04F57">
      <w:pPr>
        <w:pStyle w:val="ListParagraph"/>
        <w:numPr>
          <w:ilvl w:val="0"/>
          <w:numId w:val="12"/>
        </w:numPr>
        <w:rPr>
          <w:rFonts w:eastAsia="Times New Roman" w:cs="Calibri"/>
          <w:b w:val="0"/>
          <w:sz w:val="24"/>
          <w:szCs w:val="20"/>
          <w:lang w:val="en-US"/>
        </w:rPr>
      </w:pPr>
      <w:r w:rsidRPr="003876B3">
        <w:rPr>
          <w:rFonts w:eastAsia="Times New Roman" w:cs="Calibri"/>
          <w:b w:val="0"/>
          <w:sz w:val="24"/>
          <w:szCs w:val="20"/>
          <w:lang w:val="en-US"/>
        </w:rPr>
        <w:t>Dodd, S.J. &amp; Tolman, D. (2017). Reviving a Positive Discourse on Sexuality with Social Work. Social Work. 62 (3): 227-234.</w:t>
      </w:r>
      <w:r w:rsidR="00BA4D7D">
        <w:rPr>
          <w:rFonts w:eastAsia="Times New Roman" w:cs="Calibri"/>
          <w:b w:val="0"/>
          <w:sz w:val="24"/>
          <w:szCs w:val="20"/>
          <w:lang w:val="en-US"/>
        </w:rPr>
        <w:t xml:space="preserve"> Doi: </w:t>
      </w:r>
      <w:hyperlink r:id="rId20" w:history="1">
        <w:r w:rsidR="00BA4D7D" w:rsidRPr="00795B97">
          <w:rPr>
            <w:rStyle w:val="Hyperlink"/>
            <w:rFonts w:eastAsia="Times New Roman" w:cs="Calibri"/>
            <w:b w:val="0"/>
            <w:sz w:val="24"/>
            <w:szCs w:val="20"/>
            <w:lang w:val="en-US"/>
          </w:rPr>
          <w:t>https://doi.org/10.1093/sw/swx016</w:t>
        </w:r>
      </w:hyperlink>
      <w:r w:rsidR="00BA4D7D">
        <w:rPr>
          <w:rFonts w:eastAsia="Times New Roman" w:cs="Calibri"/>
          <w:b w:val="0"/>
          <w:sz w:val="24"/>
          <w:szCs w:val="20"/>
          <w:lang w:val="en-US"/>
        </w:rPr>
        <w:t>.</w:t>
      </w:r>
    </w:p>
    <w:p w14:paraId="05512286" w14:textId="6BF72CD6" w:rsidR="003D468A" w:rsidRPr="00410B29" w:rsidRDefault="008C1E64" w:rsidP="008B718A">
      <w:pPr>
        <w:pStyle w:val="Heading2"/>
      </w:pPr>
      <w:bookmarkStart w:id="45" w:name="_Toc12350825"/>
      <w:r w:rsidRPr="00410B29">
        <w:t>Week 2</w:t>
      </w:r>
      <w:r w:rsidR="003D468A" w:rsidRPr="00410B29">
        <w:t xml:space="preserve">: </w:t>
      </w:r>
      <w:bookmarkEnd w:id="45"/>
      <w:r w:rsidR="0040206C">
        <w:t>January 14, 2020</w:t>
      </w:r>
    </w:p>
    <w:p w14:paraId="14A6133F" w14:textId="77777777" w:rsidR="003D468A" w:rsidRPr="00410B29" w:rsidRDefault="003D468A" w:rsidP="00410B29">
      <w:pPr>
        <w:pStyle w:val="Heading3"/>
      </w:pPr>
      <w:r w:rsidRPr="00410B29">
        <w:t>Topics:</w:t>
      </w:r>
    </w:p>
    <w:p w14:paraId="3E98960A" w14:textId="36506B88" w:rsidR="003D468A" w:rsidRPr="00A04F57" w:rsidRDefault="00346842" w:rsidP="00A04F57">
      <w:pPr>
        <w:numPr>
          <w:ilvl w:val="0"/>
          <w:numId w:val="11"/>
        </w:numPr>
        <w:ind w:left="1080"/>
        <w:rPr>
          <w:rFonts w:ascii="Calibri" w:hAnsi="Calibri" w:cs="Calibri"/>
          <w:b w:val="0"/>
        </w:rPr>
      </w:pPr>
      <w:r>
        <w:rPr>
          <w:rFonts w:ascii="Calibri" w:hAnsi="Calibri" w:cs="Calibri"/>
          <w:b w:val="0"/>
        </w:rPr>
        <w:t>Resiliency</w:t>
      </w:r>
      <w:r w:rsidR="00F91622">
        <w:rPr>
          <w:rFonts w:ascii="Calibri" w:hAnsi="Calibri" w:cs="Calibri"/>
          <w:b w:val="0"/>
        </w:rPr>
        <w:t xml:space="preserve"> and</w:t>
      </w:r>
      <w:r>
        <w:rPr>
          <w:rFonts w:ascii="Calibri" w:hAnsi="Calibri" w:cs="Calibri"/>
          <w:b w:val="0"/>
        </w:rPr>
        <w:t xml:space="preserve"> LGBTQ Communities</w:t>
      </w:r>
    </w:p>
    <w:p w14:paraId="7EC0CE07" w14:textId="77777777" w:rsidR="003D468A" w:rsidRPr="00410B29" w:rsidRDefault="003D468A" w:rsidP="00410B29">
      <w:pPr>
        <w:pStyle w:val="Heading3"/>
      </w:pPr>
      <w:r w:rsidRPr="00410B29">
        <w:t>Readings:</w:t>
      </w:r>
    </w:p>
    <w:p w14:paraId="7C063DD4" w14:textId="77777777" w:rsidR="00F91622" w:rsidRPr="00F91622" w:rsidRDefault="007963A5" w:rsidP="00F91622">
      <w:pPr>
        <w:pStyle w:val="ListParagraph"/>
        <w:numPr>
          <w:ilvl w:val="0"/>
          <w:numId w:val="12"/>
        </w:numPr>
        <w:rPr>
          <w:rFonts w:eastAsia="Times New Roman"/>
          <w:b w:val="0"/>
          <w:sz w:val="24"/>
          <w:szCs w:val="24"/>
        </w:rPr>
      </w:pPr>
      <w:r w:rsidRPr="00F91622">
        <w:rPr>
          <w:b w:val="0"/>
          <w:sz w:val="24"/>
          <w:szCs w:val="24"/>
        </w:rPr>
        <w:t>Chapter</w:t>
      </w:r>
      <w:r w:rsidR="00F91622" w:rsidRPr="00F91622">
        <w:rPr>
          <w:b w:val="0"/>
          <w:sz w:val="24"/>
          <w:szCs w:val="24"/>
        </w:rPr>
        <w:t xml:space="preserve"> 1 </w:t>
      </w:r>
      <w:r w:rsidR="00F91622" w:rsidRPr="00F91622">
        <w:rPr>
          <w:rFonts w:eastAsia="Times New Roman"/>
          <w:b w:val="0"/>
          <w:sz w:val="24"/>
          <w:szCs w:val="24"/>
        </w:rPr>
        <w:t>(O’Neill, Swan &amp; Mulé, 2015)</w:t>
      </w:r>
    </w:p>
    <w:p w14:paraId="44F4CF38" w14:textId="0EDA1302" w:rsidR="00A04F57" w:rsidRPr="00F91622" w:rsidRDefault="00F91622" w:rsidP="00F91622">
      <w:pPr>
        <w:pStyle w:val="ListParagraph"/>
        <w:numPr>
          <w:ilvl w:val="0"/>
          <w:numId w:val="12"/>
        </w:numPr>
        <w:rPr>
          <w:rFonts w:eastAsia="Times New Roman"/>
          <w:b w:val="0"/>
          <w:sz w:val="24"/>
          <w:szCs w:val="24"/>
        </w:rPr>
      </w:pPr>
      <w:r w:rsidRPr="00F91622">
        <w:rPr>
          <w:b w:val="0"/>
          <w:sz w:val="24"/>
          <w:szCs w:val="24"/>
        </w:rPr>
        <w:t>Handlovsky, I., Bungay, V., Oliffe, J., Johnson, J. (2018). Developing Resilience: Gay Men’s Response to Systemic Discrimination. American Journal of Men’s Health. 12 (5): 1473-1485. Doi: https://doi.org/10.1177/1557988318768607</w:t>
      </w:r>
      <w:r>
        <w:rPr>
          <w:b w:val="0"/>
          <w:sz w:val="24"/>
          <w:szCs w:val="24"/>
        </w:rPr>
        <w:t>.</w:t>
      </w:r>
    </w:p>
    <w:p w14:paraId="1D737F6B" w14:textId="7832CF5D" w:rsidR="003D468A" w:rsidRPr="00410B29" w:rsidRDefault="008C1E64" w:rsidP="008B718A">
      <w:pPr>
        <w:pStyle w:val="Heading2"/>
      </w:pPr>
      <w:bookmarkStart w:id="46" w:name="_Toc12350826"/>
      <w:r w:rsidRPr="00F91622">
        <w:t>Week 3</w:t>
      </w:r>
      <w:r w:rsidR="003D468A" w:rsidRPr="00F91622">
        <w:t xml:space="preserve">: </w:t>
      </w:r>
      <w:bookmarkEnd w:id="46"/>
      <w:r w:rsidR="0040206C" w:rsidRPr="00F91622">
        <w:t>January 21, 2020</w:t>
      </w:r>
    </w:p>
    <w:p w14:paraId="72EBE6FD" w14:textId="77777777" w:rsidR="003D468A" w:rsidRPr="00410B29" w:rsidRDefault="003D468A" w:rsidP="00410B29">
      <w:pPr>
        <w:pStyle w:val="Heading3"/>
      </w:pPr>
      <w:r w:rsidRPr="00410B29">
        <w:t>Topics:</w:t>
      </w:r>
    </w:p>
    <w:p w14:paraId="0560CF9B" w14:textId="5AEAF1A1" w:rsidR="003D468A" w:rsidRPr="00BD468A" w:rsidRDefault="00A04F57" w:rsidP="00BD468A">
      <w:pPr>
        <w:numPr>
          <w:ilvl w:val="0"/>
          <w:numId w:val="11"/>
        </w:numPr>
        <w:ind w:left="1080"/>
        <w:rPr>
          <w:rFonts w:ascii="Calibri" w:hAnsi="Calibri" w:cs="Calibri"/>
          <w:b w:val="0"/>
        </w:rPr>
      </w:pPr>
      <w:r>
        <w:rPr>
          <w:rFonts w:ascii="Calibri" w:hAnsi="Calibri" w:cs="Calibri"/>
          <w:b w:val="0"/>
        </w:rPr>
        <w:t>Sexuality and Young People</w:t>
      </w:r>
    </w:p>
    <w:p w14:paraId="6E091505" w14:textId="77777777" w:rsidR="003D468A" w:rsidRPr="00410B29" w:rsidRDefault="003D468A" w:rsidP="00410B29">
      <w:pPr>
        <w:pStyle w:val="Heading3"/>
      </w:pPr>
      <w:r w:rsidRPr="00410B29">
        <w:t>Readings:</w:t>
      </w:r>
    </w:p>
    <w:p w14:paraId="5F34556E" w14:textId="3E937ED6" w:rsidR="00BD468A" w:rsidRDefault="00BD468A" w:rsidP="00BA4D7D">
      <w:pPr>
        <w:numPr>
          <w:ilvl w:val="0"/>
          <w:numId w:val="12"/>
        </w:numPr>
        <w:rPr>
          <w:rFonts w:ascii="Calibri" w:hAnsi="Calibri" w:cs="Calibri"/>
          <w:b w:val="0"/>
        </w:rPr>
      </w:pPr>
      <w:r>
        <w:rPr>
          <w:rFonts w:ascii="Calibri" w:hAnsi="Calibri" w:cs="Calibri"/>
          <w:b w:val="0"/>
        </w:rPr>
        <w:t xml:space="preserve">Chapters </w:t>
      </w:r>
      <w:r w:rsidR="00011953">
        <w:rPr>
          <w:rFonts w:ascii="Calibri" w:hAnsi="Calibri" w:cs="Calibri"/>
          <w:b w:val="0"/>
        </w:rPr>
        <w:t>9</w:t>
      </w:r>
      <w:r>
        <w:rPr>
          <w:rFonts w:ascii="Calibri" w:hAnsi="Calibri" w:cs="Calibri"/>
          <w:b w:val="0"/>
        </w:rPr>
        <w:t xml:space="preserve"> (O’Neill, Swan &amp; Mulé, 2015)</w:t>
      </w:r>
      <w:bookmarkStart w:id="47" w:name="_Toc12350827"/>
    </w:p>
    <w:p w14:paraId="5EC1447A" w14:textId="5EA5016C" w:rsidR="00BA4D7D" w:rsidRDefault="00BA4D7D" w:rsidP="00BA4D7D">
      <w:pPr>
        <w:numPr>
          <w:ilvl w:val="0"/>
          <w:numId w:val="12"/>
        </w:numPr>
        <w:rPr>
          <w:rFonts w:ascii="Calibri" w:hAnsi="Calibri" w:cs="Calibri"/>
          <w:b w:val="0"/>
        </w:rPr>
      </w:pPr>
      <w:r>
        <w:rPr>
          <w:rFonts w:ascii="Calibri" w:hAnsi="Calibri" w:cs="Calibri"/>
          <w:b w:val="0"/>
        </w:rPr>
        <w:t xml:space="preserve">Brandon-Friedman, R. (2019). Youth Sexual Development: A Primer for Social Workers. Social Work. 64 (4): 356-364. Doi: </w:t>
      </w:r>
      <w:hyperlink r:id="rId21" w:history="1">
        <w:r w:rsidRPr="00795B97">
          <w:rPr>
            <w:rStyle w:val="Hyperlink"/>
            <w:rFonts w:ascii="Calibri" w:hAnsi="Calibri" w:cs="Calibri"/>
            <w:b w:val="0"/>
          </w:rPr>
          <w:t>https://doi.org/10.1093/sw/swz027</w:t>
        </w:r>
      </w:hyperlink>
      <w:r>
        <w:rPr>
          <w:rFonts w:ascii="Calibri" w:hAnsi="Calibri" w:cs="Calibri"/>
          <w:b w:val="0"/>
        </w:rPr>
        <w:t>.</w:t>
      </w:r>
    </w:p>
    <w:p w14:paraId="09D897A4" w14:textId="05941082" w:rsidR="003D468A" w:rsidRPr="00410B29" w:rsidRDefault="008C1E64" w:rsidP="008B718A">
      <w:pPr>
        <w:pStyle w:val="Heading2"/>
      </w:pPr>
      <w:r w:rsidRPr="00F91622">
        <w:t>Week 4</w:t>
      </w:r>
      <w:r w:rsidR="003D468A" w:rsidRPr="00F91622">
        <w:t xml:space="preserve">: </w:t>
      </w:r>
      <w:bookmarkEnd w:id="47"/>
      <w:r w:rsidR="0040206C" w:rsidRPr="00F91622">
        <w:t>January 28, 2020</w:t>
      </w:r>
    </w:p>
    <w:p w14:paraId="553E26A0" w14:textId="77777777" w:rsidR="003D468A" w:rsidRPr="00410B29" w:rsidRDefault="003D468A" w:rsidP="00410B29">
      <w:pPr>
        <w:pStyle w:val="Heading3"/>
      </w:pPr>
      <w:r w:rsidRPr="00410B29">
        <w:t>Topics:</w:t>
      </w:r>
    </w:p>
    <w:p w14:paraId="4C5C9CDE" w14:textId="6214D7B7" w:rsidR="003D468A" w:rsidRPr="000A6633" w:rsidRDefault="00BA4D7D" w:rsidP="005438F5">
      <w:pPr>
        <w:numPr>
          <w:ilvl w:val="0"/>
          <w:numId w:val="11"/>
        </w:numPr>
        <w:ind w:left="1080"/>
        <w:rPr>
          <w:rFonts w:ascii="Calibri" w:hAnsi="Calibri" w:cs="Calibri"/>
          <w:b w:val="0"/>
        </w:rPr>
      </w:pPr>
      <w:r>
        <w:rPr>
          <w:rFonts w:ascii="Calibri" w:hAnsi="Calibri" w:cs="Calibri"/>
          <w:b w:val="0"/>
        </w:rPr>
        <w:t>Sexuality and the Older LGBTQ Person</w:t>
      </w:r>
    </w:p>
    <w:p w14:paraId="0DB7F23F" w14:textId="77777777" w:rsidR="003D468A" w:rsidRPr="00410B29" w:rsidRDefault="003D468A" w:rsidP="00410B29">
      <w:pPr>
        <w:pStyle w:val="Heading3"/>
      </w:pPr>
      <w:r w:rsidRPr="00410B29">
        <w:t>Readings:</w:t>
      </w:r>
    </w:p>
    <w:p w14:paraId="1BBA0311" w14:textId="12BE7179" w:rsidR="00BA4D7D" w:rsidRDefault="00BA4D7D" w:rsidP="00BA4D7D">
      <w:pPr>
        <w:pStyle w:val="ListParagraph"/>
        <w:numPr>
          <w:ilvl w:val="0"/>
          <w:numId w:val="12"/>
        </w:numPr>
        <w:rPr>
          <w:rFonts w:eastAsia="Times New Roman" w:cs="Calibri"/>
          <w:b w:val="0"/>
          <w:sz w:val="24"/>
          <w:szCs w:val="20"/>
          <w:lang w:val="en-US"/>
        </w:rPr>
      </w:pPr>
      <w:r w:rsidRPr="00BA4D7D">
        <w:rPr>
          <w:rFonts w:eastAsia="Times New Roman" w:cs="Calibri"/>
          <w:b w:val="0"/>
          <w:sz w:val="24"/>
          <w:szCs w:val="20"/>
          <w:lang w:val="en-US"/>
        </w:rPr>
        <w:t xml:space="preserve">Chapter </w:t>
      </w:r>
      <w:r w:rsidR="00972131">
        <w:rPr>
          <w:rFonts w:eastAsia="Times New Roman" w:cs="Calibri"/>
          <w:b w:val="0"/>
          <w:sz w:val="24"/>
          <w:szCs w:val="20"/>
          <w:lang w:val="en-US"/>
        </w:rPr>
        <w:t>4</w:t>
      </w:r>
      <w:r w:rsidRPr="00BA4D7D">
        <w:rPr>
          <w:rFonts w:eastAsia="Times New Roman" w:cs="Calibri"/>
          <w:b w:val="0"/>
          <w:sz w:val="24"/>
          <w:szCs w:val="20"/>
          <w:lang w:val="en-US"/>
        </w:rPr>
        <w:t xml:space="preserve"> (O’Neill, Swan &amp; Mulé, 2015)</w:t>
      </w:r>
    </w:p>
    <w:p w14:paraId="0C6A02F2" w14:textId="0B3A6B87" w:rsidR="007963A5" w:rsidRDefault="007963A5" w:rsidP="00BA4D7D">
      <w:pPr>
        <w:pStyle w:val="ListParagraph"/>
        <w:numPr>
          <w:ilvl w:val="0"/>
          <w:numId w:val="12"/>
        </w:numPr>
        <w:rPr>
          <w:rFonts w:eastAsia="Times New Roman" w:cs="Calibri"/>
          <w:b w:val="0"/>
          <w:sz w:val="24"/>
          <w:szCs w:val="20"/>
          <w:lang w:val="en-US"/>
        </w:rPr>
      </w:pPr>
      <w:r>
        <w:rPr>
          <w:rFonts w:eastAsia="Times New Roman" w:cs="Calibri"/>
          <w:b w:val="0"/>
          <w:sz w:val="24"/>
          <w:szCs w:val="20"/>
          <w:lang w:val="en-US"/>
        </w:rPr>
        <w:t xml:space="preserve">Fabbre, V. (2017). Queer Aging: Implications for Social Work Practice with Lesbian, Gay, Bisexual, Transgender, and Queer Older Adults. Social Work. 62 (1): 73-76. Doi: </w:t>
      </w:r>
      <w:hyperlink r:id="rId22" w:history="1">
        <w:r w:rsidRPr="00795B97">
          <w:rPr>
            <w:rStyle w:val="Hyperlink"/>
            <w:rFonts w:eastAsia="Times New Roman" w:cs="Calibri"/>
            <w:b w:val="0"/>
            <w:sz w:val="24"/>
            <w:szCs w:val="20"/>
            <w:lang w:val="en-US"/>
          </w:rPr>
          <w:t>https://doi.org/10.1093/sw/sww076</w:t>
        </w:r>
      </w:hyperlink>
      <w:r>
        <w:rPr>
          <w:rFonts w:eastAsia="Times New Roman" w:cs="Calibri"/>
          <w:b w:val="0"/>
          <w:sz w:val="24"/>
          <w:szCs w:val="20"/>
          <w:lang w:val="en-US"/>
        </w:rPr>
        <w:t>.</w:t>
      </w:r>
    </w:p>
    <w:p w14:paraId="27C78509" w14:textId="061A49D2" w:rsidR="008C1E64" w:rsidRPr="00410B29" w:rsidRDefault="008C1E64" w:rsidP="008B718A">
      <w:pPr>
        <w:pStyle w:val="Heading2"/>
      </w:pPr>
      <w:bookmarkStart w:id="48" w:name="_Toc12350828"/>
      <w:r w:rsidRPr="00410B29">
        <w:lastRenderedPageBreak/>
        <w:t xml:space="preserve">Week 5: </w:t>
      </w:r>
      <w:bookmarkEnd w:id="48"/>
      <w:r w:rsidR="0040206C">
        <w:t>February 4, 2020</w:t>
      </w:r>
    </w:p>
    <w:p w14:paraId="2C477EDD" w14:textId="77777777" w:rsidR="008C1E64" w:rsidRPr="00410B29" w:rsidRDefault="008C1E64" w:rsidP="00410B29">
      <w:pPr>
        <w:pStyle w:val="Heading3"/>
      </w:pPr>
      <w:r w:rsidRPr="00410B29">
        <w:t>Topics:</w:t>
      </w:r>
    </w:p>
    <w:p w14:paraId="5C26FE83" w14:textId="4F6C9E87" w:rsidR="008C1E64" w:rsidRPr="007963A5" w:rsidRDefault="005D2B10" w:rsidP="007963A5">
      <w:pPr>
        <w:numPr>
          <w:ilvl w:val="0"/>
          <w:numId w:val="11"/>
        </w:numPr>
        <w:ind w:left="1080"/>
        <w:rPr>
          <w:rFonts w:ascii="Calibri" w:hAnsi="Calibri" w:cs="Calibri"/>
          <w:b w:val="0"/>
        </w:rPr>
      </w:pPr>
      <w:r>
        <w:rPr>
          <w:rFonts w:ascii="Calibri" w:hAnsi="Calibri" w:cs="Calibri"/>
          <w:b w:val="0"/>
        </w:rPr>
        <w:t>Queer and Living with a Disability</w:t>
      </w:r>
    </w:p>
    <w:p w14:paraId="5EFEC1F4" w14:textId="77777777" w:rsidR="008C1E64" w:rsidRPr="00410B29" w:rsidRDefault="008C1E64" w:rsidP="00410B29">
      <w:pPr>
        <w:pStyle w:val="Heading3"/>
      </w:pPr>
      <w:r w:rsidRPr="00410B29">
        <w:t>Readings:</w:t>
      </w:r>
    </w:p>
    <w:p w14:paraId="63C9CBF6" w14:textId="012D1BC1" w:rsidR="007963A5" w:rsidRDefault="007963A5" w:rsidP="007963A5">
      <w:pPr>
        <w:pStyle w:val="ListParagraph"/>
        <w:numPr>
          <w:ilvl w:val="0"/>
          <w:numId w:val="12"/>
        </w:numPr>
        <w:rPr>
          <w:rFonts w:eastAsia="Times New Roman" w:cs="Calibri"/>
          <w:b w:val="0"/>
          <w:sz w:val="24"/>
          <w:szCs w:val="24"/>
          <w:lang w:val="en-US"/>
        </w:rPr>
      </w:pPr>
      <w:r w:rsidRPr="00F91622">
        <w:rPr>
          <w:rFonts w:cs="Calibri"/>
          <w:b w:val="0"/>
          <w:sz w:val="24"/>
          <w:szCs w:val="24"/>
        </w:rPr>
        <w:t xml:space="preserve">Chapter </w:t>
      </w:r>
      <w:r w:rsidR="005D2B10" w:rsidRPr="00F91622">
        <w:rPr>
          <w:rFonts w:cs="Calibri"/>
          <w:b w:val="0"/>
          <w:sz w:val="24"/>
          <w:szCs w:val="24"/>
        </w:rPr>
        <w:t>3</w:t>
      </w:r>
      <w:r w:rsidRPr="00F91622">
        <w:rPr>
          <w:rFonts w:cs="Calibri"/>
          <w:b w:val="0"/>
          <w:sz w:val="24"/>
          <w:szCs w:val="24"/>
        </w:rPr>
        <w:t xml:space="preserve"> </w:t>
      </w:r>
      <w:r w:rsidRPr="00F91622">
        <w:rPr>
          <w:rFonts w:eastAsia="Times New Roman" w:cs="Calibri"/>
          <w:b w:val="0"/>
          <w:sz w:val="24"/>
          <w:szCs w:val="24"/>
          <w:lang w:val="en-US"/>
        </w:rPr>
        <w:t>(O’Neill, Swan &amp; Mulé, 2015)</w:t>
      </w:r>
    </w:p>
    <w:p w14:paraId="3A8E7A47" w14:textId="45DE37AB" w:rsidR="004274F7" w:rsidRPr="004274F7" w:rsidRDefault="004274F7" w:rsidP="007963A5">
      <w:pPr>
        <w:pStyle w:val="ListParagraph"/>
        <w:numPr>
          <w:ilvl w:val="0"/>
          <w:numId w:val="12"/>
        </w:numPr>
        <w:rPr>
          <w:rFonts w:eastAsia="Times New Roman" w:cs="Calibri"/>
          <w:b w:val="0"/>
          <w:sz w:val="24"/>
          <w:szCs w:val="24"/>
          <w:lang w:val="en-US"/>
        </w:rPr>
      </w:pPr>
      <w:r>
        <w:rPr>
          <w:rFonts w:cs="Calibri"/>
          <w:b w:val="0"/>
          <w:sz w:val="24"/>
          <w:szCs w:val="24"/>
        </w:rPr>
        <w:t xml:space="preserve">Pieri, M. (2019). The Sound that you do not see. Notes on Queer and Disabled Invisibility. Sexuality &amp; Culture. 23 (2): 558-570. Doi: </w:t>
      </w:r>
      <w:hyperlink r:id="rId23" w:history="1">
        <w:r w:rsidRPr="005D7173">
          <w:rPr>
            <w:rStyle w:val="Hyperlink"/>
            <w:rFonts w:cs="Calibri"/>
            <w:b w:val="0"/>
            <w:sz w:val="24"/>
            <w:szCs w:val="24"/>
          </w:rPr>
          <w:t>https://doi.org/10.1007/s12119-018-9573-8</w:t>
        </w:r>
      </w:hyperlink>
      <w:r>
        <w:rPr>
          <w:rFonts w:cs="Calibri"/>
          <w:b w:val="0"/>
          <w:sz w:val="24"/>
          <w:szCs w:val="24"/>
        </w:rPr>
        <w:t>.</w:t>
      </w:r>
    </w:p>
    <w:p w14:paraId="790A666C" w14:textId="4A54BCFB" w:rsidR="004274F7" w:rsidRPr="004274F7" w:rsidRDefault="004274F7" w:rsidP="004274F7">
      <w:pPr>
        <w:rPr>
          <w:rFonts w:cs="Calibri"/>
          <w:bCs/>
          <w:szCs w:val="24"/>
        </w:rPr>
      </w:pPr>
      <w:bookmarkStart w:id="49" w:name="_Hlk26111590"/>
      <w:r w:rsidRPr="004274F7">
        <w:rPr>
          <w:rFonts w:cs="Calibri"/>
          <w:bCs/>
          <w:szCs w:val="24"/>
        </w:rPr>
        <w:t>Film:</w:t>
      </w:r>
    </w:p>
    <w:p w14:paraId="5398EAD3" w14:textId="76D6C3C7" w:rsidR="005D2B10" w:rsidRPr="00F91622" w:rsidRDefault="005D2B10" w:rsidP="005D2B10">
      <w:pPr>
        <w:pStyle w:val="ListParagraph"/>
        <w:numPr>
          <w:ilvl w:val="0"/>
          <w:numId w:val="12"/>
        </w:numPr>
        <w:rPr>
          <w:rFonts w:eastAsia="Times New Roman" w:cs="Calibri"/>
          <w:b w:val="0"/>
          <w:sz w:val="24"/>
          <w:szCs w:val="24"/>
          <w:lang w:val="en-US"/>
        </w:rPr>
      </w:pPr>
      <w:r w:rsidRPr="00F91622">
        <w:rPr>
          <w:rFonts w:eastAsia="Times New Roman" w:cs="Calibri"/>
          <w:b w:val="0"/>
          <w:sz w:val="24"/>
          <w:szCs w:val="24"/>
          <w:lang w:val="en-US"/>
        </w:rPr>
        <w:t>Gurza, A. (2017). Picture This. Toronto, Ontario: National Film Board of Canada.</w:t>
      </w:r>
    </w:p>
    <w:p w14:paraId="6505242A" w14:textId="78DBD723" w:rsidR="008C1E64" w:rsidRPr="00410B29" w:rsidRDefault="008C1E64" w:rsidP="008B718A">
      <w:pPr>
        <w:pStyle w:val="Heading2"/>
      </w:pPr>
      <w:bookmarkStart w:id="50" w:name="_Toc12350829"/>
      <w:bookmarkEnd w:id="49"/>
      <w:r w:rsidRPr="00410B29">
        <w:t xml:space="preserve">Week 6: </w:t>
      </w:r>
      <w:bookmarkEnd w:id="50"/>
      <w:r w:rsidR="0040206C">
        <w:t>February 11, 2020</w:t>
      </w:r>
    </w:p>
    <w:p w14:paraId="11495F2A" w14:textId="77777777" w:rsidR="008C1E64" w:rsidRPr="00410B29" w:rsidRDefault="008C1E64" w:rsidP="00410B29">
      <w:pPr>
        <w:pStyle w:val="Heading3"/>
      </w:pPr>
      <w:r w:rsidRPr="00410B29">
        <w:t>Topics:</w:t>
      </w:r>
    </w:p>
    <w:p w14:paraId="46D4840E" w14:textId="355294E6" w:rsidR="008C1E64" w:rsidRPr="000A6633" w:rsidRDefault="006E6CBA" w:rsidP="005438F5">
      <w:pPr>
        <w:numPr>
          <w:ilvl w:val="0"/>
          <w:numId w:val="11"/>
        </w:numPr>
        <w:ind w:left="1080"/>
        <w:rPr>
          <w:rFonts w:ascii="Calibri" w:hAnsi="Calibri" w:cs="Calibri"/>
          <w:b w:val="0"/>
        </w:rPr>
      </w:pPr>
      <w:r>
        <w:rPr>
          <w:rFonts w:ascii="Calibri" w:hAnsi="Calibri" w:cs="Calibri"/>
          <w:b w:val="0"/>
        </w:rPr>
        <w:t>Living with HIV and Sexuality</w:t>
      </w:r>
    </w:p>
    <w:p w14:paraId="28410818" w14:textId="77777777" w:rsidR="008C1E64" w:rsidRPr="00410B29" w:rsidRDefault="008C1E64" w:rsidP="00410B29">
      <w:pPr>
        <w:pStyle w:val="Heading3"/>
      </w:pPr>
      <w:r w:rsidRPr="00410B29">
        <w:t>Readings:</w:t>
      </w:r>
    </w:p>
    <w:p w14:paraId="0AC3BB09" w14:textId="2FE2D05C" w:rsidR="008B718A" w:rsidRDefault="007A102D" w:rsidP="008B718A">
      <w:pPr>
        <w:pStyle w:val="ListParagraph"/>
        <w:numPr>
          <w:ilvl w:val="0"/>
          <w:numId w:val="12"/>
        </w:numPr>
        <w:rPr>
          <w:rFonts w:eastAsia="Times New Roman" w:cs="Calibri"/>
          <w:b w:val="0"/>
          <w:sz w:val="24"/>
          <w:szCs w:val="20"/>
          <w:lang w:val="en-US"/>
        </w:rPr>
      </w:pPr>
      <w:bookmarkStart w:id="51" w:name="_Hlk25681885"/>
      <w:r w:rsidRPr="007A102D">
        <w:rPr>
          <w:rFonts w:eastAsia="Times New Roman" w:cs="Calibri"/>
          <w:b w:val="0"/>
          <w:sz w:val="24"/>
          <w:szCs w:val="20"/>
          <w:lang w:val="en-US"/>
        </w:rPr>
        <w:t xml:space="preserve">Chapter </w:t>
      </w:r>
      <w:r w:rsidR="00D96528">
        <w:rPr>
          <w:rFonts w:eastAsia="Times New Roman" w:cs="Calibri"/>
          <w:b w:val="0"/>
          <w:sz w:val="24"/>
          <w:szCs w:val="20"/>
          <w:lang w:val="en-US"/>
        </w:rPr>
        <w:t>1</w:t>
      </w:r>
      <w:r w:rsidR="006E6CBA">
        <w:rPr>
          <w:rFonts w:eastAsia="Times New Roman" w:cs="Calibri"/>
          <w:b w:val="0"/>
          <w:sz w:val="24"/>
          <w:szCs w:val="20"/>
          <w:lang w:val="en-US"/>
        </w:rPr>
        <w:t>1</w:t>
      </w:r>
      <w:r w:rsidRPr="007A102D">
        <w:rPr>
          <w:rFonts w:eastAsia="Times New Roman" w:cs="Calibri"/>
          <w:b w:val="0"/>
          <w:sz w:val="24"/>
          <w:szCs w:val="20"/>
          <w:lang w:val="en-US"/>
        </w:rPr>
        <w:t xml:space="preserve"> (O’Neill, Swan &amp; Mulé, 2015)</w:t>
      </w:r>
    </w:p>
    <w:p w14:paraId="17A02FDE" w14:textId="7545D080" w:rsidR="008B02AE" w:rsidRDefault="004274F7" w:rsidP="008B02AE">
      <w:pPr>
        <w:pStyle w:val="ListParagraph"/>
        <w:numPr>
          <w:ilvl w:val="0"/>
          <w:numId w:val="12"/>
        </w:numPr>
        <w:rPr>
          <w:rFonts w:eastAsia="Times New Roman" w:cs="Calibri"/>
          <w:b w:val="0"/>
          <w:sz w:val="24"/>
          <w:szCs w:val="20"/>
          <w:lang w:val="en-US"/>
        </w:rPr>
      </w:pPr>
      <w:r>
        <w:rPr>
          <w:rFonts w:eastAsia="Times New Roman" w:cs="Calibri"/>
          <w:b w:val="0"/>
          <w:sz w:val="24"/>
          <w:szCs w:val="20"/>
          <w:lang w:val="en-US"/>
        </w:rPr>
        <w:t xml:space="preserve">Sandset, T. (2019). HIV both starts and stops with me: Configuring the neoliberal sexual actor in HIV prevention. Sexuality </w:t>
      </w:r>
      <w:r w:rsidR="008B02AE">
        <w:rPr>
          <w:rFonts w:eastAsia="Times New Roman" w:cs="Calibri"/>
          <w:b w:val="0"/>
          <w:sz w:val="24"/>
          <w:szCs w:val="20"/>
          <w:lang w:val="en-US"/>
        </w:rPr>
        <w:t xml:space="preserve">&amp; Culture. 23 (2): 657-673. Doi: </w:t>
      </w:r>
      <w:hyperlink r:id="rId24" w:history="1">
        <w:r w:rsidR="008B02AE" w:rsidRPr="005D7173">
          <w:rPr>
            <w:rStyle w:val="Hyperlink"/>
            <w:rFonts w:eastAsia="Times New Roman" w:cs="Calibri"/>
            <w:b w:val="0"/>
            <w:sz w:val="24"/>
            <w:szCs w:val="20"/>
            <w:lang w:val="en-US"/>
          </w:rPr>
          <w:t>https://doi.org/10.1007/s12119-018-09584-1</w:t>
        </w:r>
      </w:hyperlink>
      <w:r w:rsidR="008B02AE">
        <w:rPr>
          <w:rFonts w:eastAsia="Times New Roman" w:cs="Calibri"/>
          <w:b w:val="0"/>
          <w:sz w:val="24"/>
          <w:szCs w:val="20"/>
          <w:lang w:val="en-US"/>
        </w:rPr>
        <w:t>.</w:t>
      </w:r>
    </w:p>
    <w:p w14:paraId="77B05DE8" w14:textId="64A883BA" w:rsidR="008B718A" w:rsidRPr="00410B29" w:rsidRDefault="008B718A" w:rsidP="008B718A">
      <w:pPr>
        <w:pStyle w:val="Heading3"/>
      </w:pPr>
      <w:r>
        <w:t>Assignment</w:t>
      </w:r>
      <w:r w:rsidRPr="00410B29">
        <w:t>:</w:t>
      </w:r>
    </w:p>
    <w:p w14:paraId="440F8AC9" w14:textId="65C3CCE2" w:rsidR="008B718A" w:rsidRPr="008B718A" w:rsidRDefault="008B718A" w:rsidP="008B718A">
      <w:pPr>
        <w:pStyle w:val="ListParagraph"/>
        <w:numPr>
          <w:ilvl w:val="0"/>
          <w:numId w:val="12"/>
        </w:numPr>
        <w:rPr>
          <w:rFonts w:eastAsia="Times New Roman" w:cs="Calibri"/>
          <w:b w:val="0"/>
          <w:sz w:val="24"/>
          <w:szCs w:val="20"/>
          <w:lang w:val="en-US"/>
        </w:rPr>
      </w:pPr>
      <w:r>
        <w:rPr>
          <w:rFonts w:eastAsia="Times New Roman" w:cs="Calibri"/>
          <w:b w:val="0"/>
          <w:sz w:val="24"/>
          <w:szCs w:val="20"/>
          <w:lang w:val="en-US"/>
        </w:rPr>
        <w:t>Final Term Paper Outline Due</w:t>
      </w:r>
    </w:p>
    <w:p w14:paraId="2D883A27" w14:textId="38358A92" w:rsidR="008C1E64" w:rsidRPr="00410B29" w:rsidRDefault="008C1E64" w:rsidP="008B718A">
      <w:pPr>
        <w:pStyle w:val="Heading2"/>
      </w:pPr>
      <w:bookmarkStart w:id="52" w:name="_Toc12350830"/>
      <w:bookmarkEnd w:id="51"/>
      <w:r w:rsidRPr="00410B29">
        <w:t xml:space="preserve">Week 7: </w:t>
      </w:r>
      <w:bookmarkEnd w:id="52"/>
      <w:r w:rsidR="003876B3">
        <w:t>February 25, 2020</w:t>
      </w:r>
    </w:p>
    <w:p w14:paraId="5E2BB877" w14:textId="77777777" w:rsidR="008C1E64" w:rsidRPr="00410B29" w:rsidRDefault="008C1E64" w:rsidP="00410B29">
      <w:pPr>
        <w:pStyle w:val="Heading3"/>
      </w:pPr>
      <w:r w:rsidRPr="00410B29">
        <w:t>Topics:</w:t>
      </w:r>
    </w:p>
    <w:p w14:paraId="07093949" w14:textId="24698EB0" w:rsidR="008C1E64" w:rsidRPr="007A102D" w:rsidRDefault="008B02AE" w:rsidP="007A102D">
      <w:pPr>
        <w:numPr>
          <w:ilvl w:val="0"/>
          <w:numId w:val="11"/>
        </w:numPr>
        <w:ind w:left="1080"/>
        <w:rPr>
          <w:rFonts w:ascii="Calibri" w:hAnsi="Calibri" w:cs="Calibri"/>
          <w:b w:val="0"/>
        </w:rPr>
      </w:pPr>
      <w:r>
        <w:rPr>
          <w:rFonts w:ascii="Calibri" w:hAnsi="Calibri" w:cs="Calibri"/>
          <w:b w:val="0"/>
        </w:rPr>
        <w:t>Queer Indigenous Sexuality</w:t>
      </w:r>
    </w:p>
    <w:p w14:paraId="07E7606B" w14:textId="77777777" w:rsidR="008C1E64" w:rsidRPr="00410B29" w:rsidRDefault="008C1E64" w:rsidP="00410B29">
      <w:pPr>
        <w:pStyle w:val="Heading3"/>
      </w:pPr>
      <w:r w:rsidRPr="00410B29">
        <w:t>Readings:</w:t>
      </w:r>
    </w:p>
    <w:p w14:paraId="0A15189C" w14:textId="3F85EEC3" w:rsidR="00D96528" w:rsidRDefault="00D96528" w:rsidP="00D96528">
      <w:pPr>
        <w:pStyle w:val="ListParagraph"/>
        <w:numPr>
          <w:ilvl w:val="0"/>
          <w:numId w:val="12"/>
        </w:numPr>
        <w:rPr>
          <w:rFonts w:eastAsia="Times New Roman" w:cs="Calibri"/>
          <w:b w:val="0"/>
          <w:sz w:val="24"/>
          <w:szCs w:val="20"/>
          <w:lang w:val="en-US"/>
        </w:rPr>
      </w:pPr>
      <w:r w:rsidRPr="007A102D">
        <w:rPr>
          <w:rFonts w:eastAsia="Times New Roman" w:cs="Calibri"/>
          <w:b w:val="0"/>
          <w:sz w:val="24"/>
          <w:szCs w:val="20"/>
          <w:lang w:val="en-US"/>
        </w:rPr>
        <w:t xml:space="preserve">Chapter </w:t>
      </w:r>
      <w:r w:rsidR="008B02AE">
        <w:rPr>
          <w:rFonts w:eastAsia="Times New Roman" w:cs="Calibri"/>
          <w:b w:val="0"/>
          <w:sz w:val="24"/>
          <w:szCs w:val="20"/>
          <w:lang w:val="en-US"/>
        </w:rPr>
        <w:t>5</w:t>
      </w:r>
      <w:r w:rsidRPr="007A102D">
        <w:rPr>
          <w:rFonts w:eastAsia="Times New Roman" w:cs="Calibri"/>
          <w:b w:val="0"/>
          <w:sz w:val="24"/>
          <w:szCs w:val="20"/>
          <w:lang w:val="en-US"/>
        </w:rPr>
        <w:t xml:space="preserve"> (O’Neill, Swan &amp; Mulé, 2015)</w:t>
      </w:r>
    </w:p>
    <w:p w14:paraId="10257F3E" w14:textId="193DE81B" w:rsidR="008B02AE" w:rsidRDefault="008B02AE" w:rsidP="00D96528">
      <w:pPr>
        <w:pStyle w:val="ListParagraph"/>
        <w:numPr>
          <w:ilvl w:val="0"/>
          <w:numId w:val="12"/>
        </w:numPr>
        <w:rPr>
          <w:rFonts w:eastAsia="Times New Roman" w:cs="Calibri"/>
          <w:b w:val="0"/>
          <w:sz w:val="24"/>
          <w:szCs w:val="20"/>
          <w:lang w:val="en-US"/>
        </w:rPr>
      </w:pPr>
      <w:r>
        <w:rPr>
          <w:rFonts w:eastAsia="Times New Roman" w:cs="Calibri"/>
          <w:b w:val="0"/>
          <w:sz w:val="24"/>
          <w:szCs w:val="20"/>
          <w:lang w:val="en-US"/>
        </w:rPr>
        <w:t xml:space="preserve">Greensmith, C. (2018). Unsettling White Queer Complicities: Towards a Practice of Decolonization in Queer Organizations. Intersectionalities: A Global Journal of Social Work Analysis, Research, Polity, and Practice. 6 (1): 16-36. </w:t>
      </w:r>
    </w:p>
    <w:p w14:paraId="3CC3CA84" w14:textId="3DB07635" w:rsidR="008B718A" w:rsidRPr="00410B29" w:rsidRDefault="008B718A" w:rsidP="008B718A">
      <w:pPr>
        <w:pStyle w:val="Heading3"/>
      </w:pPr>
      <w:r>
        <w:t>Assignment</w:t>
      </w:r>
      <w:r w:rsidRPr="00410B29">
        <w:t>:</w:t>
      </w:r>
    </w:p>
    <w:p w14:paraId="13BBA9F1" w14:textId="38FF7ABC" w:rsidR="008B718A" w:rsidRPr="008B718A" w:rsidRDefault="008B718A" w:rsidP="005D421E">
      <w:pPr>
        <w:pStyle w:val="ListParagraph"/>
        <w:numPr>
          <w:ilvl w:val="0"/>
          <w:numId w:val="12"/>
        </w:numPr>
        <w:rPr>
          <w:rFonts w:eastAsia="Times New Roman" w:cs="Calibri"/>
          <w:b w:val="0"/>
          <w:sz w:val="24"/>
          <w:szCs w:val="20"/>
          <w:lang w:val="en-US"/>
        </w:rPr>
      </w:pPr>
      <w:r>
        <w:rPr>
          <w:rFonts w:eastAsia="Times New Roman" w:cs="Calibri"/>
          <w:b w:val="0"/>
          <w:sz w:val="24"/>
          <w:szCs w:val="20"/>
          <w:lang w:val="en-US"/>
        </w:rPr>
        <w:t>Student Group Presentations</w:t>
      </w:r>
    </w:p>
    <w:p w14:paraId="4FE934A7" w14:textId="12758B75" w:rsidR="008C1E64" w:rsidRPr="00410B29" w:rsidRDefault="008C1E64" w:rsidP="008B718A">
      <w:pPr>
        <w:pStyle w:val="Heading2"/>
      </w:pPr>
      <w:bookmarkStart w:id="53" w:name="_Toc12350831"/>
      <w:r w:rsidRPr="000E7B54">
        <w:lastRenderedPageBreak/>
        <w:t xml:space="preserve">Week 8: </w:t>
      </w:r>
      <w:bookmarkEnd w:id="53"/>
      <w:r w:rsidR="003876B3" w:rsidRPr="000E7B54">
        <w:t>March 3, 2020</w:t>
      </w:r>
    </w:p>
    <w:p w14:paraId="4095D96A" w14:textId="77777777" w:rsidR="008C1E64" w:rsidRPr="00410B29" w:rsidRDefault="008C1E64" w:rsidP="00410B29">
      <w:pPr>
        <w:pStyle w:val="Heading3"/>
      </w:pPr>
      <w:r w:rsidRPr="00410B29">
        <w:t>Topics:</w:t>
      </w:r>
    </w:p>
    <w:p w14:paraId="0ED3FA5F" w14:textId="0C3061FF" w:rsidR="008B02AE" w:rsidRDefault="000E7B54" w:rsidP="00DC23C7">
      <w:pPr>
        <w:numPr>
          <w:ilvl w:val="0"/>
          <w:numId w:val="11"/>
        </w:numPr>
        <w:ind w:left="1080"/>
        <w:rPr>
          <w:rFonts w:ascii="Calibri" w:hAnsi="Calibri" w:cs="Calibri"/>
          <w:b w:val="0"/>
        </w:rPr>
      </w:pPr>
      <w:r>
        <w:rPr>
          <w:rFonts w:ascii="Calibri" w:hAnsi="Calibri" w:cs="Calibri"/>
          <w:b w:val="0"/>
        </w:rPr>
        <w:t>Bisexuality and Pansexuality</w:t>
      </w:r>
    </w:p>
    <w:p w14:paraId="733B3870" w14:textId="76FE24BA" w:rsidR="008C1E64" w:rsidRDefault="00511A25" w:rsidP="00DC23C7">
      <w:pPr>
        <w:numPr>
          <w:ilvl w:val="0"/>
          <w:numId w:val="11"/>
        </w:numPr>
        <w:ind w:left="1080"/>
        <w:rPr>
          <w:rFonts w:ascii="Calibri" w:hAnsi="Calibri" w:cs="Calibri"/>
          <w:b w:val="0"/>
        </w:rPr>
      </w:pPr>
      <w:r>
        <w:rPr>
          <w:rFonts w:ascii="Calibri" w:hAnsi="Calibri" w:cs="Calibri"/>
          <w:b w:val="0"/>
        </w:rPr>
        <w:t>Student Group Presentations</w:t>
      </w:r>
    </w:p>
    <w:p w14:paraId="31C09C21" w14:textId="77777777" w:rsidR="008B718A" w:rsidRPr="00410B29" w:rsidRDefault="008B718A" w:rsidP="008B718A">
      <w:pPr>
        <w:pStyle w:val="Heading3"/>
      </w:pPr>
      <w:r w:rsidRPr="00410B29">
        <w:t>Readings:</w:t>
      </w:r>
    </w:p>
    <w:p w14:paraId="45326A57" w14:textId="372C271D" w:rsidR="008B718A" w:rsidRDefault="008B718A" w:rsidP="008B718A">
      <w:pPr>
        <w:pStyle w:val="ListParagraph"/>
        <w:numPr>
          <w:ilvl w:val="0"/>
          <w:numId w:val="12"/>
        </w:numPr>
        <w:rPr>
          <w:rFonts w:eastAsia="Times New Roman" w:cs="Calibri"/>
          <w:b w:val="0"/>
          <w:sz w:val="24"/>
          <w:szCs w:val="20"/>
          <w:lang w:val="en-US"/>
        </w:rPr>
      </w:pPr>
      <w:r w:rsidRPr="007A102D">
        <w:rPr>
          <w:rFonts w:eastAsia="Times New Roman" w:cs="Calibri"/>
          <w:b w:val="0"/>
          <w:sz w:val="24"/>
          <w:szCs w:val="20"/>
          <w:lang w:val="en-US"/>
        </w:rPr>
        <w:t xml:space="preserve">Chapter </w:t>
      </w:r>
      <w:r w:rsidR="000E7B54">
        <w:rPr>
          <w:rFonts w:eastAsia="Times New Roman" w:cs="Calibri"/>
          <w:b w:val="0"/>
          <w:sz w:val="24"/>
          <w:szCs w:val="20"/>
          <w:lang w:val="en-US"/>
        </w:rPr>
        <w:t>6</w:t>
      </w:r>
      <w:r w:rsidRPr="007A102D">
        <w:rPr>
          <w:rFonts w:eastAsia="Times New Roman" w:cs="Calibri"/>
          <w:b w:val="0"/>
          <w:sz w:val="24"/>
          <w:szCs w:val="20"/>
          <w:lang w:val="en-US"/>
        </w:rPr>
        <w:t xml:space="preserve"> (O’Neill, Swan &amp; Mulé, 2015)</w:t>
      </w:r>
    </w:p>
    <w:p w14:paraId="76333053" w14:textId="0F490D29" w:rsidR="000E7B54" w:rsidRPr="000E7B54" w:rsidRDefault="000E7B54" w:rsidP="000E7B54">
      <w:pPr>
        <w:pStyle w:val="ListParagraph"/>
        <w:numPr>
          <w:ilvl w:val="0"/>
          <w:numId w:val="12"/>
        </w:numPr>
        <w:rPr>
          <w:rFonts w:eastAsia="Times New Roman" w:cs="Calibri"/>
          <w:b w:val="0"/>
          <w:sz w:val="24"/>
          <w:szCs w:val="20"/>
          <w:lang w:val="en-US"/>
        </w:rPr>
      </w:pPr>
      <w:r>
        <w:rPr>
          <w:rFonts w:eastAsia="Times New Roman" w:cs="Calibri"/>
          <w:b w:val="0"/>
          <w:sz w:val="24"/>
          <w:szCs w:val="20"/>
          <w:lang w:val="en-US"/>
        </w:rPr>
        <w:t xml:space="preserve">Taylor, J. (2018). Out of the darkness and into the shadows: The evolution of contemporary bisexuality. Canadian Journal of Human Sexuality. 27 (2): 103-109. Doi:  </w:t>
      </w:r>
      <w:r w:rsidRPr="000E7B54">
        <w:rPr>
          <w:rFonts w:eastAsia="Times New Roman" w:cs="Calibri"/>
          <w:b w:val="0"/>
          <w:sz w:val="24"/>
          <w:szCs w:val="20"/>
          <w:lang w:val="en-US"/>
        </w:rPr>
        <w:t>10.3138/cjhs.2018-0014</w:t>
      </w:r>
      <w:r>
        <w:rPr>
          <w:rFonts w:eastAsia="Times New Roman" w:cs="Calibri"/>
          <w:b w:val="0"/>
          <w:sz w:val="24"/>
          <w:szCs w:val="20"/>
          <w:lang w:val="en-US"/>
        </w:rPr>
        <w:t>.</w:t>
      </w:r>
    </w:p>
    <w:p w14:paraId="7FDACE3D" w14:textId="7E688AEA" w:rsidR="008B718A" w:rsidRPr="00410B29" w:rsidRDefault="008B718A" w:rsidP="008B718A">
      <w:pPr>
        <w:pStyle w:val="Heading3"/>
      </w:pPr>
      <w:r>
        <w:t>Assignment</w:t>
      </w:r>
      <w:r w:rsidRPr="00410B29">
        <w:t>:</w:t>
      </w:r>
    </w:p>
    <w:p w14:paraId="0827005C" w14:textId="1C00866C" w:rsidR="008B718A" w:rsidRPr="008B718A" w:rsidRDefault="008B718A" w:rsidP="008B718A">
      <w:pPr>
        <w:pStyle w:val="ListParagraph"/>
        <w:numPr>
          <w:ilvl w:val="0"/>
          <w:numId w:val="12"/>
        </w:numPr>
        <w:rPr>
          <w:rFonts w:eastAsia="Times New Roman" w:cs="Calibri"/>
          <w:b w:val="0"/>
          <w:sz w:val="24"/>
          <w:szCs w:val="20"/>
          <w:lang w:val="en-US"/>
        </w:rPr>
      </w:pPr>
      <w:r>
        <w:rPr>
          <w:rFonts w:eastAsia="Times New Roman" w:cs="Calibri"/>
          <w:b w:val="0"/>
          <w:sz w:val="24"/>
          <w:szCs w:val="20"/>
          <w:lang w:val="en-US"/>
        </w:rPr>
        <w:t>Student Group Presentations</w:t>
      </w:r>
    </w:p>
    <w:p w14:paraId="6B8AADEC" w14:textId="584C457D" w:rsidR="008C1E64" w:rsidRPr="00410B29" w:rsidRDefault="008C1E64" w:rsidP="008B718A">
      <w:pPr>
        <w:pStyle w:val="Heading2"/>
      </w:pPr>
      <w:bookmarkStart w:id="54" w:name="_Toc12350832"/>
      <w:r w:rsidRPr="000E7B54">
        <w:t xml:space="preserve">Week 9: </w:t>
      </w:r>
      <w:bookmarkEnd w:id="54"/>
      <w:r w:rsidR="003876B3" w:rsidRPr="000E7B54">
        <w:t>March 10, 2020</w:t>
      </w:r>
    </w:p>
    <w:p w14:paraId="423F2FD2" w14:textId="77777777" w:rsidR="008C1E64" w:rsidRPr="00410B29" w:rsidRDefault="008C1E64" w:rsidP="00410B29">
      <w:pPr>
        <w:pStyle w:val="Heading3"/>
      </w:pPr>
      <w:r w:rsidRPr="00410B29">
        <w:t>Topics:</w:t>
      </w:r>
    </w:p>
    <w:p w14:paraId="0D1A5326" w14:textId="07E745B2" w:rsidR="008C1E64" w:rsidRPr="000A6633" w:rsidRDefault="00011953" w:rsidP="005438F5">
      <w:pPr>
        <w:numPr>
          <w:ilvl w:val="0"/>
          <w:numId w:val="11"/>
        </w:numPr>
        <w:ind w:left="1080"/>
        <w:rPr>
          <w:rFonts w:ascii="Calibri" w:hAnsi="Calibri" w:cs="Calibri"/>
          <w:b w:val="0"/>
        </w:rPr>
      </w:pPr>
      <w:r>
        <w:rPr>
          <w:rFonts w:ascii="Calibri" w:hAnsi="Calibri" w:cs="Calibri"/>
          <w:b w:val="0"/>
        </w:rPr>
        <w:t>Gay and Caregiving</w:t>
      </w:r>
    </w:p>
    <w:p w14:paraId="52D30B06" w14:textId="77777777" w:rsidR="008C1E64" w:rsidRPr="00410B29" w:rsidRDefault="008C1E64" w:rsidP="00410B29">
      <w:pPr>
        <w:pStyle w:val="Heading3"/>
      </w:pPr>
      <w:r w:rsidRPr="00410B29">
        <w:t>Readings:</w:t>
      </w:r>
    </w:p>
    <w:p w14:paraId="055ACC96" w14:textId="501A83C9" w:rsidR="008C1E64" w:rsidRPr="000A6633" w:rsidRDefault="007963A5" w:rsidP="005438F5">
      <w:pPr>
        <w:numPr>
          <w:ilvl w:val="0"/>
          <w:numId w:val="12"/>
        </w:numPr>
        <w:rPr>
          <w:rFonts w:ascii="Calibri" w:hAnsi="Calibri" w:cs="Calibri"/>
          <w:b w:val="0"/>
        </w:rPr>
      </w:pPr>
      <w:r>
        <w:rPr>
          <w:rFonts w:ascii="Calibri" w:hAnsi="Calibri" w:cs="Calibri"/>
          <w:b w:val="0"/>
        </w:rPr>
        <w:t xml:space="preserve">Chapter </w:t>
      </w:r>
      <w:r w:rsidR="00011953">
        <w:rPr>
          <w:rFonts w:ascii="Calibri" w:hAnsi="Calibri" w:cs="Calibri"/>
          <w:b w:val="0"/>
        </w:rPr>
        <w:t xml:space="preserve">8 </w:t>
      </w:r>
      <w:r w:rsidR="00011953" w:rsidRPr="00011953">
        <w:rPr>
          <w:rFonts w:ascii="Calibri" w:hAnsi="Calibri" w:cs="Calibri"/>
          <w:b w:val="0"/>
        </w:rPr>
        <w:t>(O’Neill, Swan &amp; Mulé, 2015)</w:t>
      </w:r>
    </w:p>
    <w:p w14:paraId="07673D16" w14:textId="7CF9EB72" w:rsidR="008C1E64" w:rsidRDefault="00011953" w:rsidP="005438F5">
      <w:pPr>
        <w:numPr>
          <w:ilvl w:val="0"/>
          <w:numId w:val="12"/>
        </w:numPr>
        <w:rPr>
          <w:rFonts w:ascii="Calibri" w:hAnsi="Calibri" w:cs="Calibri"/>
          <w:b w:val="0"/>
        </w:rPr>
      </w:pPr>
      <w:r>
        <w:rPr>
          <w:rFonts w:ascii="Calibri" w:hAnsi="Calibri" w:cs="Calibri"/>
          <w:b w:val="0"/>
        </w:rPr>
        <w:t xml:space="preserve">Ismail, M., Hammond, N., Wilson, K., Stinchcombe, A. (2019). Canadian who care: Social networks and informal caregiving among lesbian, gay and bisexual older adults in the Canadian longitudinal study on aging. 0 (0): 1-18. Doi: </w:t>
      </w:r>
      <w:r w:rsidRPr="00011953">
        <w:rPr>
          <w:rFonts w:ascii="Calibri" w:hAnsi="Calibri" w:cs="Calibri"/>
          <w:b w:val="0"/>
        </w:rPr>
        <w:t>10.1177/0091415019864603</w:t>
      </w:r>
      <w:r>
        <w:rPr>
          <w:rFonts w:ascii="Calibri" w:hAnsi="Calibri" w:cs="Calibri"/>
          <w:b w:val="0"/>
        </w:rPr>
        <w:t>.</w:t>
      </w:r>
    </w:p>
    <w:p w14:paraId="10CFFA95" w14:textId="77777777" w:rsidR="008B718A" w:rsidRPr="00410B29" w:rsidRDefault="008B718A" w:rsidP="008B718A">
      <w:pPr>
        <w:pStyle w:val="Heading3"/>
      </w:pPr>
      <w:r w:rsidRPr="00410B29">
        <w:t>Readings:</w:t>
      </w:r>
    </w:p>
    <w:p w14:paraId="15CCE54C" w14:textId="5B6574C8" w:rsidR="008B718A" w:rsidRPr="008B718A" w:rsidRDefault="008B718A" w:rsidP="008B718A">
      <w:pPr>
        <w:pStyle w:val="ListParagraph"/>
        <w:numPr>
          <w:ilvl w:val="0"/>
          <w:numId w:val="12"/>
        </w:numPr>
        <w:rPr>
          <w:rFonts w:eastAsia="Times New Roman" w:cs="Calibri"/>
          <w:b w:val="0"/>
          <w:sz w:val="24"/>
          <w:szCs w:val="20"/>
          <w:lang w:val="en-US"/>
        </w:rPr>
      </w:pPr>
      <w:r>
        <w:rPr>
          <w:rFonts w:eastAsia="Times New Roman" w:cs="Calibri"/>
          <w:b w:val="0"/>
          <w:sz w:val="24"/>
          <w:szCs w:val="20"/>
          <w:lang w:val="en-US"/>
        </w:rPr>
        <w:t>Student Group Presentations</w:t>
      </w:r>
    </w:p>
    <w:p w14:paraId="1E9F1703" w14:textId="2286AEDD" w:rsidR="008C1E64" w:rsidRPr="00410B29" w:rsidRDefault="008C1E64" w:rsidP="008B718A">
      <w:pPr>
        <w:pStyle w:val="Heading2"/>
      </w:pPr>
      <w:bookmarkStart w:id="55" w:name="_Toc12350833"/>
      <w:r w:rsidRPr="000E7B54">
        <w:t xml:space="preserve">Week 10: </w:t>
      </w:r>
      <w:bookmarkEnd w:id="55"/>
      <w:r w:rsidR="003876B3" w:rsidRPr="000E7B54">
        <w:t>March 17, 2020</w:t>
      </w:r>
    </w:p>
    <w:p w14:paraId="58429366" w14:textId="77777777" w:rsidR="008C1E64" w:rsidRPr="00410B29" w:rsidRDefault="008C1E64" w:rsidP="00410B29">
      <w:pPr>
        <w:pStyle w:val="Heading3"/>
      </w:pPr>
      <w:r w:rsidRPr="00410B29">
        <w:t>Topics:</w:t>
      </w:r>
    </w:p>
    <w:p w14:paraId="0D1D8A92" w14:textId="3944C977" w:rsidR="008C1E64" w:rsidRPr="000A6633" w:rsidRDefault="006E6CBA" w:rsidP="005438F5">
      <w:pPr>
        <w:numPr>
          <w:ilvl w:val="0"/>
          <w:numId w:val="11"/>
        </w:numPr>
        <w:ind w:left="1080"/>
        <w:rPr>
          <w:rFonts w:ascii="Calibri" w:hAnsi="Calibri" w:cs="Calibri"/>
          <w:b w:val="0"/>
        </w:rPr>
      </w:pPr>
      <w:r>
        <w:rPr>
          <w:rFonts w:ascii="Calibri" w:hAnsi="Calibri" w:cs="Calibri"/>
          <w:b w:val="0"/>
        </w:rPr>
        <w:t>Sexuality and the Trans Community</w:t>
      </w:r>
    </w:p>
    <w:p w14:paraId="2C289BB1" w14:textId="77777777" w:rsidR="008C1E64" w:rsidRPr="00410B29" w:rsidRDefault="008C1E64" w:rsidP="00410B29">
      <w:pPr>
        <w:pStyle w:val="Heading3"/>
      </w:pPr>
      <w:r w:rsidRPr="00410B29">
        <w:t>Readings:</w:t>
      </w:r>
    </w:p>
    <w:p w14:paraId="2CE9A6E6" w14:textId="3F0DE8E5" w:rsidR="008C1E64" w:rsidRDefault="006E6CBA" w:rsidP="005438F5">
      <w:pPr>
        <w:numPr>
          <w:ilvl w:val="0"/>
          <w:numId w:val="12"/>
        </w:numPr>
        <w:rPr>
          <w:rFonts w:ascii="Calibri" w:hAnsi="Calibri" w:cs="Calibri"/>
          <w:b w:val="0"/>
        </w:rPr>
      </w:pPr>
      <w:r>
        <w:rPr>
          <w:rFonts w:ascii="Calibri" w:hAnsi="Calibri" w:cs="Calibri"/>
          <w:b w:val="0"/>
        </w:rPr>
        <w:t xml:space="preserve">Chapter 7 </w:t>
      </w:r>
      <w:r w:rsidR="00011953">
        <w:rPr>
          <w:rFonts w:ascii="Calibri" w:hAnsi="Calibri" w:cs="Calibri"/>
          <w:b w:val="0"/>
        </w:rPr>
        <w:t xml:space="preserve">&amp; 13 </w:t>
      </w:r>
      <w:r w:rsidRPr="006E6CBA">
        <w:rPr>
          <w:rFonts w:ascii="Calibri" w:hAnsi="Calibri" w:cs="Calibri"/>
          <w:b w:val="0"/>
        </w:rPr>
        <w:t>(O’Neill, Swan &amp; Mulé, 2015)</w:t>
      </w:r>
    </w:p>
    <w:p w14:paraId="13AC6F49" w14:textId="77777777" w:rsidR="00011953" w:rsidRDefault="00011953" w:rsidP="00011953">
      <w:pPr>
        <w:ind w:left="1080"/>
        <w:rPr>
          <w:rFonts w:ascii="Calibri" w:hAnsi="Calibri" w:cs="Calibri"/>
          <w:b w:val="0"/>
        </w:rPr>
      </w:pPr>
    </w:p>
    <w:p w14:paraId="52C285BB" w14:textId="77777777" w:rsidR="000E7B54" w:rsidRPr="000E7B54" w:rsidRDefault="000E7B54" w:rsidP="000E7B54">
      <w:pPr>
        <w:rPr>
          <w:rFonts w:cs="Arial"/>
          <w:bCs/>
          <w:lang w:val="en-CA"/>
        </w:rPr>
      </w:pPr>
      <w:r w:rsidRPr="000E7B54">
        <w:rPr>
          <w:rFonts w:cs="Arial"/>
          <w:bCs/>
          <w:lang w:val="en-CA"/>
        </w:rPr>
        <w:t>Film:</w:t>
      </w:r>
    </w:p>
    <w:p w14:paraId="77E189F3" w14:textId="3E3C752A" w:rsidR="000E7B54" w:rsidRDefault="000E7B54" w:rsidP="000E7B54">
      <w:pPr>
        <w:rPr>
          <w:rFonts w:ascii="Calibri" w:hAnsi="Calibri" w:cs="Calibri"/>
          <w:b w:val="0"/>
          <w:lang w:val="en-CA"/>
        </w:rPr>
      </w:pPr>
      <w:r w:rsidRPr="000E7B54">
        <w:rPr>
          <w:rFonts w:ascii="Calibri" w:hAnsi="Calibri" w:cs="Calibri"/>
          <w:b w:val="0"/>
          <w:lang w:val="en-CA"/>
        </w:rPr>
        <w:t>•</w:t>
      </w:r>
      <w:r w:rsidRPr="000E7B54">
        <w:rPr>
          <w:rFonts w:ascii="Calibri" w:hAnsi="Calibri" w:cs="Calibri"/>
          <w:b w:val="0"/>
          <w:lang w:val="en-CA"/>
        </w:rPr>
        <w:tab/>
      </w:r>
      <w:r>
        <w:rPr>
          <w:rFonts w:ascii="Calibri" w:hAnsi="Calibri" w:cs="Calibri"/>
          <w:b w:val="0"/>
          <w:lang w:val="en-CA"/>
        </w:rPr>
        <w:t>Kol, A.</w:t>
      </w:r>
      <w:r w:rsidRPr="000E7B54">
        <w:rPr>
          <w:rFonts w:ascii="Calibri" w:hAnsi="Calibri" w:cs="Calibri"/>
          <w:b w:val="0"/>
          <w:lang w:val="en-CA"/>
        </w:rPr>
        <w:t xml:space="preserve"> (201</w:t>
      </w:r>
      <w:r>
        <w:rPr>
          <w:rFonts w:ascii="Calibri" w:hAnsi="Calibri" w:cs="Calibri"/>
          <w:b w:val="0"/>
          <w:lang w:val="en-CA"/>
        </w:rPr>
        <w:t>5</w:t>
      </w:r>
      <w:r w:rsidRPr="000E7B54">
        <w:rPr>
          <w:rFonts w:ascii="Calibri" w:hAnsi="Calibri" w:cs="Calibri"/>
          <w:b w:val="0"/>
          <w:lang w:val="en-CA"/>
        </w:rPr>
        <w:t xml:space="preserve">). </w:t>
      </w:r>
      <w:r>
        <w:rPr>
          <w:rFonts w:ascii="Calibri" w:hAnsi="Calibri" w:cs="Calibri"/>
          <w:b w:val="0"/>
          <w:lang w:val="en-CA"/>
        </w:rPr>
        <w:t>Transfixed. Westmount, Quebec: Filmoption International</w:t>
      </w:r>
      <w:r w:rsidRPr="000E7B54">
        <w:rPr>
          <w:rFonts w:ascii="Calibri" w:hAnsi="Calibri" w:cs="Calibri"/>
          <w:b w:val="0"/>
          <w:lang w:val="en-CA"/>
        </w:rPr>
        <w:t>.</w:t>
      </w:r>
    </w:p>
    <w:p w14:paraId="1C4A23FB" w14:textId="6B7B2575" w:rsidR="008B718A" w:rsidRPr="00410B29" w:rsidRDefault="008B718A" w:rsidP="008B718A">
      <w:pPr>
        <w:pStyle w:val="Heading3"/>
      </w:pPr>
      <w:bookmarkStart w:id="56" w:name="_Hlk26109662"/>
      <w:r>
        <w:t>Assignment</w:t>
      </w:r>
      <w:r w:rsidRPr="00410B29">
        <w:t>:</w:t>
      </w:r>
    </w:p>
    <w:p w14:paraId="099F1DE4" w14:textId="62A1C5FA" w:rsidR="008B718A" w:rsidRPr="008B718A" w:rsidRDefault="008B718A" w:rsidP="00154702">
      <w:pPr>
        <w:pStyle w:val="ListParagraph"/>
        <w:numPr>
          <w:ilvl w:val="0"/>
          <w:numId w:val="12"/>
        </w:numPr>
        <w:rPr>
          <w:rFonts w:cs="Calibri"/>
          <w:b w:val="0"/>
        </w:rPr>
      </w:pPr>
      <w:r>
        <w:rPr>
          <w:rFonts w:eastAsia="Times New Roman" w:cs="Calibri"/>
          <w:b w:val="0"/>
          <w:sz w:val="24"/>
          <w:szCs w:val="20"/>
          <w:lang w:val="en-US"/>
        </w:rPr>
        <w:t>Student Group Presentations</w:t>
      </w:r>
    </w:p>
    <w:p w14:paraId="1D37242B" w14:textId="19CD7AD1" w:rsidR="008C1E64" w:rsidRPr="00410B29" w:rsidRDefault="008C1E64" w:rsidP="008B718A">
      <w:pPr>
        <w:pStyle w:val="Heading2"/>
      </w:pPr>
      <w:bookmarkStart w:id="57" w:name="_Toc12350834"/>
      <w:bookmarkEnd w:id="56"/>
      <w:r w:rsidRPr="00410B29">
        <w:lastRenderedPageBreak/>
        <w:t xml:space="preserve">Week 11: </w:t>
      </w:r>
      <w:bookmarkEnd w:id="57"/>
      <w:r w:rsidR="003876B3">
        <w:t>March 24, 2020</w:t>
      </w:r>
    </w:p>
    <w:p w14:paraId="677350FF" w14:textId="77777777" w:rsidR="008C1E64" w:rsidRPr="000A6633" w:rsidRDefault="008C1E64" w:rsidP="008B718A">
      <w:pPr>
        <w:pStyle w:val="Heading3"/>
        <w:spacing w:before="0"/>
        <w:jc w:val="both"/>
        <w:rPr>
          <w:rFonts w:ascii="Calibri" w:hAnsi="Calibri" w:cs="Calibri"/>
          <w:b w:val="0"/>
          <w:u w:val="single"/>
        </w:rPr>
      </w:pPr>
      <w:r w:rsidRPr="00410B29">
        <w:t>Topics</w:t>
      </w:r>
      <w:r w:rsidRPr="000A6633">
        <w:rPr>
          <w:rFonts w:ascii="Calibri" w:hAnsi="Calibri" w:cs="Calibri"/>
          <w:b w:val="0"/>
          <w:u w:val="single"/>
        </w:rPr>
        <w:t>:</w:t>
      </w:r>
    </w:p>
    <w:p w14:paraId="4DF73C80" w14:textId="4B44C147" w:rsidR="008C1E64" w:rsidRPr="000A6633" w:rsidRDefault="00011953" w:rsidP="005438F5">
      <w:pPr>
        <w:numPr>
          <w:ilvl w:val="0"/>
          <w:numId w:val="11"/>
        </w:numPr>
        <w:ind w:left="1080"/>
        <w:rPr>
          <w:rFonts w:ascii="Calibri" w:hAnsi="Calibri" w:cs="Calibri"/>
          <w:b w:val="0"/>
        </w:rPr>
      </w:pPr>
      <w:r>
        <w:rPr>
          <w:rFonts w:ascii="Calibri" w:hAnsi="Calibri" w:cs="Calibri"/>
          <w:b w:val="0"/>
        </w:rPr>
        <w:t>LGBTQ Newcomers</w:t>
      </w:r>
    </w:p>
    <w:p w14:paraId="37BBD1C6" w14:textId="77777777" w:rsidR="008C1E64" w:rsidRPr="00410B29" w:rsidRDefault="008C1E64" w:rsidP="00410B29">
      <w:pPr>
        <w:pStyle w:val="Heading3"/>
      </w:pPr>
      <w:r w:rsidRPr="00410B29">
        <w:t>Readings:</w:t>
      </w:r>
    </w:p>
    <w:p w14:paraId="786C52B0" w14:textId="227C2CC5" w:rsidR="008B718A" w:rsidRDefault="00011953" w:rsidP="008B718A">
      <w:pPr>
        <w:pStyle w:val="ListParagraph"/>
        <w:numPr>
          <w:ilvl w:val="0"/>
          <w:numId w:val="12"/>
        </w:numPr>
        <w:rPr>
          <w:rFonts w:eastAsia="Times New Roman" w:cs="Calibri"/>
          <w:b w:val="0"/>
          <w:sz w:val="24"/>
          <w:szCs w:val="20"/>
          <w:lang w:val="en-US"/>
        </w:rPr>
      </w:pPr>
      <w:bookmarkStart w:id="58" w:name="_Hlk26113274"/>
      <w:r>
        <w:rPr>
          <w:rFonts w:eastAsia="Times New Roman" w:cs="Calibri"/>
          <w:b w:val="0"/>
          <w:sz w:val="24"/>
          <w:szCs w:val="20"/>
          <w:lang w:val="en-US"/>
        </w:rPr>
        <w:t xml:space="preserve">Chapter 12 </w:t>
      </w:r>
      <w:r w:rsidRPr="00011953">
        <w:rPr>
          <w:rFonts w:eastAsia="Times New Roman" w:cs="Calibri"/>
          <w:b w:val="0"/>
          <w:sz w:val="24"/>
          <w:szCs w:val="20"/>
          <w:lang w:val="en-US"/>
        </w:rPr>
        <w:t>(O’Neill, Swan &amp; Mulé, 2015)</w:t>
      </w:r>
      <w:bookmarkStart w:id="59" w:name="_Toc12350835"/>
    </w:p>
    <w:bookmarkEnd w:id="58"/>
    <w:p w14:paraId="10CE4D9F" w14:textId="1201A2C5" w:rsidR="00626D01" w:rsidRDefault="00626D01" w:rsidP="008B718A">
      <w:pPr>
        <w:pStyle w:val="ListParagraph"/>
        <w:numPr>
          <w:ilvl w:val="0"/>
          <w:numId w:val="12"/>
        </w:numPr>
        <w:rPr>
          <w:rFonts w:eastAsia="Times New Roman" w:cs="Calibri"/>
          <w:b w:val="0"/>
          <w:sz w:val="24"/>
          <w:szCs w:val="20"/>
          <w:lang w:val="en-US"/>
        </w:rPr>
      </w:pPr>
      <w:r>
        <w:rPr>
          <w:rFonts w:eastAsia="Times New Roman" w:cs="Calibri"/>
          <w:b w:val="0"/>
          <w:sz w:val="24"/>
          <w:szCs w:val="20"/>
          <w:lang w:val="en-US"/>
        </w:rPr>
        <w:t>Yee, J., Marshall, Z., Vo, T. (2014). Challenging neo-colonialism and essentialism: Incorporating hybridity and new conceptualizations of settlement service delivery with lesbian, gay, bisexual, trans, and queer immigrant young people. Critical Social Work. 15 (1): 88-103.</w:t>
      </w:r>
    </w:p>
    <w:p w14:paraId="4D9B471C" w14:textId="77777777" w:rsidR="008B718A" w:rsidRPr="00410B29" w:rsidRDefault="008B718A" w:rsidP="008B718A">
      <w:pPr>
        <w:pStyle w:val="Heading3"/>
      </w:pPr>
      <w:r>
        <w:t>Assignment</w:t>
      </w:r>
      <w:r w:rsidRPr="00410B29">
        <w:t>:</w:t>
      </w:r>
    </w:p>
    <w:p w14:paraId="5903EE63" w14:textId="77777777" w:rsidR="008B718A" w:rsidRPr="008B718A" w:rsidRDefault="008B718A" w:rsidP="008B718A">
      <w:pPr>
        <w:pStyle w:val="ListParagraph"/>
        <w:numPr>
          <w:ilvl w:val="0"/>
          <w:numId w:val="12"/>
        </w:numPr>
        <w:rPr>
          <w:rFonts w:cs="Calibri"/>
          <w:b w:val="0"/>
        </w:rPr>
      </w:pPr>
      <w:r>
        <w:rPr>
          <w:rFonts w:eastAsia="Times New Roman" w:cs="Calibri"/>
          <w:b w:val="0"/>
          <w:sz w:val="24"/>
          <w:szCs w:val="20"/>
          <w:lang w:val="en-US"/>
        </w:rPr>
        <w:t>Student Group Presentations</w:t>
      </w:r>
    </w:p>
    <w:p w14:paraId="59505CF5" w14:textId="2B32A073" w:rsidR="008C1E64" w:rsidRPr="00410B29" w:rsidRDefault="008C1E64" w:rsidP="008B718A">
      <w:pPr>
        <w:pStyle w:val="Heading2"/>
      </w:pPr>
      <w:bookmarkStart w:id="60" w:name="_Hlk25673779"/>
      <w:r w:rsidRPr="00410B29">
        <w:t xml:space="preserve">Week 12: </w:t>
      </w:r>
      <w:bookmarkEnd w:id="59"/>
      <w:r w:rsidR="003876B3">
        <w:t>March 31, 2020</w:t>
      </w:r>
    </w:p>
    <w:p w14:paraId="7B0B0DEC" w14:textId="77777777" w:rsidR="008C1E64" w:rsidRPr="00410B29" w:rsidRDefault="008C1E64" w:rsidP="00410B29">
      <w:pPr>
        <w:pStyle w:val="Heading3"/>
      </w:pPr>
      <w:r w:rsidRPr="00410B29">
        <w:t>Topics:</w:t>
      </w:r>
    </w:p>
    <w:p w14:paraId="21FED9B1" w14:textId="4CAA3B13" w:rsidR="008C1E64" w:rsidRPr="00B42A09" w:rsidRDefault="00B42A09" w:rsidP="00B42A09">
      <w:pPr>
        <w:numPr>
          <w:ilvl w:val="0"/>
          <w:numId w:val="11"/>
        </w:numPr>
        <w:ind w:left="1080"/>
        <w:rPr>
          <w:rFonts w:ascii="Calibri" w:hAnsi="Calibri" w:cs="Calibri"/>
          <w:b w:val="0"/>
        </w:rPr>
      </w:pPr>
      <w:r>
        <w:rPr>
          <w:rFonts w:ascii="Calibri" w:hAnsi="Calibri" w:cs="Calibri"/>
          <w:b w:val="0"/>
        </w:rPr>
        <w:t>Researching Sexuality</w:t>
      </w:r>
    </w:p>
    <w:p w14:paraId="48F219DE" w14:textId="77777777" w:rsidR="008C1E64" w:rsidRPr="00410B29" w:rsidRDefault="008C1E64" w:rsidP="00410B29">
      <w:pPr>
        <w:pStyle w:val="Heading3"/>
      </w:pPr>
      <w:r w:rsidRPr="00410B29">
        <w:t>Readings:</w:t>
      </w:r>
    </w:p>
    <w:p w14:paraId="0AD726D4" w14:textId="2DE787AF" w:rsidR="008C1E64" w:rsidRDefault="00B42A09" w:rsidP="00B42A09">
      <w:pPr>
        <w:pStyle w:val="ListParagraph"/>
        <w:numPr>
          <w:ilvl w:val="0"/>
          <w:numId w:val="12"/>
        </w:numPr>
        <w:rPr>
          <w:rFonts w:eastAsia="Times New Roman" w:cs="Calibri"/>
          <w:b w:val="0"/>
          <w:sz w:val="24"/>
          <w:szCs w:val="20"/>
          <w:lang w:val="en-US"/>
        </w:rPr>
      </w:pPr>
      <w:r w:rsidRPr="00B42A09">
        <w:rPr>
          <w:rFonts w:eastAsia="Times New Roman" w:cs="Calibri"/>
          <w:b w:val="0"/>
          <w:sz w:val="24"/>
          <w:szCs w:val="20"/>
          <w:lang w:val="en-US"/>
        </w:rPr>
        <w:t>Chapter 1</w:t>
      </w:r>
      <w:r>
        <w:rPr>
          <w:rFonts w:eastAsia="Times New Roman" w:cs="Calibri"/>
          <w:b w:val="0"/>
          <w:sz w:val="24"/>
          <w:szCs w:val="20"/>
          <w:lang w:val="en-US"/>
        </w:rPr>
        <w:t>6</w:t>
      </w:r>
      <w:r w:rsidRPr="00B42A09">
        <w:rPr>
          <w:rFonts w:eastAsia="Times New Roman" w:cs="Calibri"/>
          <w:b w:val="0"/>
          <w:sz w:val="24"/>
          <w:szCs w:val="20"/>
          <w:lang w:val="en-US"/>
        </w:rPr>
        <w:t xml:space="preserve"> (O’Neill, Swan &amp; Mulé, 2015)</w:t>
      </w:r>
    </w:p>
    <w:p w14:paraId="264D1220" w14:textId="41B24917" w:rsidR="00B42A09" w:rsidRDefault="00B42A09" w:rsidP="00B42A09">
      <w:pPr>
        <w:pStyle w:val="ListParagraph"/>
        <w:numPr>
          <w:ilvl w:val="0"/>
          <w:numId w:val="12"/>
        </w:numPr>
        <w:rPr>
          <w:rFonts w:eastAsia="Times New Roman" w:cs="Calibri"/>
          <w:b w:val="0"/>
          <w:sz w:val="24"/>
          <w:szCs w:val="20"/>
          <w:lang w:val="en-US"/>
        </w:rPr>
      </w:pPr>
      <w:r>
        <w:rPr>
          <w:rFonts w:eastAsia="Times New Roman" w:cs="Calibri"/>
          <w:b w:val="0"/>
          <w:sz w:val="24"/>
          <w:szCs w:val="20"/>
          <w:lang w:val="en-US"/>
        </w:rPr>
        <w:t xml:space="preserve">Poole, H. (2003). Researching sexuality and sexual issues: Implications for the researcher. Sexual and Relationship Therapy. 19 (1): 79-86. Doi: </w:t>
      </w:r>
      <w:hyperlink r:id="rId25" w:history="1">
        <w:r w:rsidRPr="005D7173">
          <w:rPr>
            <w:rStyle w:val="Hyperlink"/>
            <w:rFonts w:eastAsia="Times New Roman" w:cs="Calibri"/>
            <w:b w:val="0"/>
            <w:sz w:val="24"/>
            <w:szCs w:val="20"/>
            <w:lang w:val="en-US"/>
          </w:rPr>
          <w:t>https://doi.org/10.1080/14681990410001640853</w:t>
        </w:r>
      </w:hyperlink>
      <w:r>
        <w:rPr>
          <w:rFonts w:eastAsia="Times New Roman" w:cs="Calibri"/>
          <w:b w:val="0"/>
          <w:sz w:val="24"/>
          <w:szCs w:val="20"/>
          <w:lang w:val="en-US"/>
        </w:rPr>
        <w:t>.</w:t>
      </w:r>
    </w:p>
    <w:p w14:paraId="6AD9307E" w14:textId="77777777" w:rsidR="008B718A" w:rsidRPr="00410B29" w:rsidRDefault="008B718A" w:rsidP="008B718A">
      <w:pPr>
        <w:pStyle w:val="Heading3"/>
      </w:pPr>
      <w:r>
        <w:t>Assignment</w:t>
      </w:r>
      <w:r w:rsidRPr="00410B29">
        <w:t>:</w:t>
      </w:r>
    </w:p>
    <w:p w14:paraId="2926508E" w14:textId="77777777" w:rsidR="008B718A" w:rsidRPr="008B718A" w:rsidRDefault="008B718A" w:rsidP="008B718A">
      <w:pPr>
        <w:pStyle w:val="ListParagraph"/>
        <w:numPr>
          <w:ilvl w:val="0"/>
          <w:numId w:val="12"/>
        </w:numPr>
        <w:rPr>
          <w:rFonts w:cs="Calibri"/>
          <w:b w:val="0"/>
        </w:rPr>
      </w:pPr>
      <w:r>
        <w:rPr>
          <w:rFonts w:eastAsia="Times New Roman" w:cs="Calibri"/>
          <w:b w:val="0"/>
          <w:sz w:val="24"/>
          <w:szCs w:val="20"/>
          <w:lang w:val="en-US"/>
        </w:rPr>
        <w:t>Student Group Presentations</w:t>
      </w:r>
    </w:p>
    <w:p w14:paraId="570E0A36" w14:textId="31C96465" w:rsidR="003876B3" w:rsidRPr="00410B29" w:rsidRDefault="003876B3" w:rsidP="008B718A">
      <w:pPr>
        <w:pStyle w:val="Heading2"/>
      </w:pPr>
      <w:bookmarkStart w:id="61" w:name="_Toc12350836"/>
      <w:bookmarkEnd w:id="60"/>
      <w:r w:rsidRPr="00410B29">
        <w:t>Week 1</w:t>
      </w:r>
      <w:r>
        <w:t>3</w:t>
      </w:r>
      <w:r w:rsidRPr="00410B29">
        <w:t xml:space="preserve">: </w:t>
      </w:r>
      <w:r>
        <w:t>April 7, 2020</w:t>
      </w:r>
    </w:p>
    <w:p w14:paraId="50AA8F2F" w14:textId="77777777" w:rsidR="003876B3" w:rsidRPr="00410B29" w:rsidRDefault="003876B3" w:rsidP="003876B3">
      <w:pPr>
        <w:pStyle w:val="Heading3"/>
      </w:pPr>
      <w:r w:rsidRPr="00410B29">
        <w:t>Topics:</w:t>
      </w:r>
    </w:p>
    <w:p w14:paraId="3A43E88C" w14:textId="270A0911" w:rsidR="003876B3" w:rsidRDefault="00B42A09" w:rsidP="003876B3">
      <w:pPr>
        <w:numPr>
          <w:ilvl w:val="0"/>
          <w:numId w:val="11"/>
        </w:numPr>
        <w:ind w:left="1080"/>
        <w:rPr>
          <w:rFonts w:ascii="Calibri" w:hAnsi="Calibri" w:cs="Calibri"/>
          <w:b w:val="0"/>
        </w:rPr>
      </w:pPr>
      <w:r>
        <w:rPr>
          <w:rFonts w:ascii="Calibri" w:hAnsi="Calibri" w:cs="Calibri"/>
          <w:b w:val="0"/>
        </w:rPr>
        <w:t>Reflections on Sexuality</w:t>
      </w:r>
    </w:p>
    <w:p w14:paraId="15AE7564" w14:textId="2A886144" w:rsidR="00345050" w:rsidRPr="00B42A09" w:rsidRDefault="00B42A09" w:rsidP="00B42A09">
      <w:pPr>
        <w:numPr>
          <w:ilvl w:val="0"/>
          <w:numId w:val="11"/>
        </w:numPr>
        <w:ind w:left="1080"/>
        <w:rPr>
          <w:rFonts w:ascii="Calibri" w:hAnsi="Calibri" w:cs="Calibri"/>
          <w:b w:val="0"/>
        </w:rPr>
      </w:pPr>
      <w:r>
        <w:rPr>
          <w:rFonts w:ascii="Calibri" w:hAnsi="Calibri" w:cs="Calibri"/>
          <w:b w:val="0"/>
        </w:rPr>
        <w:t>Course Celebration</w:t>
      </w:r>
      <w:bookmarkEnd w:id="61"/>
    </w:p>
    <w:sectPr w:rsidR="00345050" w:rsidRPr="00B42A09" w:rsidSect="00166EF9">
      <w:headerReference w:type="default" r:id="rId26"/>
      <w:footerReference w:type="default" r:id="rId27"/>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10D83" w14:textId="77777777" w:rsidR="00EE78F6" w:rsidRDefault="00EE78F6" w:rsidP="003562E3">
      <w:r>
        <w:separator/>
      </w:r>
    </w:p>
  </w:endnote>
  <w:endnote w:type="continuationSeparator" w:id="0">
    <w:p w14:paraId="0D59CC22" w14:textId="77777777" w:rsidR="00EE78F6" w:rsidRDefault="00EE78F6"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960B1" w14:textId="0DE0E435" w:rsidR="00DE446D" w:rsidRPr="005F68BC" w:rsidRDefault="002C7543" w:rsidP="00DE446D">
    <w:pPr>
      <w:rPr>
        <w:rStyle w:val="Strong"/>
        <w:rFonts w:ascii="Calibri" w:hAnsi="Calibri" w:cs="Calibri"/>
      </w:rPr>
    </w:pPr>
    <w:r>
      <w:rPr>
        <w:rStyle w:val="Strong"/>
        <w:rFonts w:ascii="Calibri" w:hAnsi="Calibri" w:cs="Calibri"/>
      </w:rPr>
      <w:t>SW 3O03, Term 2, 2019/20</w:t>
    </w:r>
  </w:p>
  <w:p w14:paraId="5E5F63CE"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0E9A3" w14:textId="77777777" w:rsidR="00EE78F6" w:rsidRDefault="00EE78F6" w:rsidP="003562E3">
      <w:r>
        <w:separator/>
      </w:r>
    </w:p>
  </w:footnote>
  <w:footnote w:type="continuationSeparator" w:id="0">
    <w:p w14:paraId="4FB9F792" w14:textId="77777777" w:rsidR="00EE78F6" w:rsidRDefault="00EE78F6"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3DC9F" w14:textId="61A7D4DC" w:rsidR="00DE446D" w:rsidRDefault="00DE446D">
    <w:pPr>
      <w:pStyle w:val="Header"/>
      <w:jc w:val="right"/>
    </w:pPr>
    <w:r>
      <w:fldChar w:fldCharType="begin"/>
    </w:r>
    <w:r>
      <w:instrText xml:space="preserve"> PAGE   \* MERGEFORMAT </w:instrText>
    </w:r>
    <w:r>
      <w:fldChar w:fldCharType="separate"/>
    </w:r>
    <w:r w:rsidR="0081713C">
      <w:rPr>
        <w:noProof/>
      </w:rPr>
      <w:t>4</w:t>
    </w:r>
    <w:r>
      <w:rPr>
        <w:noProof/>
      </w:rPr>
      <w:fldChar w:fldCharType="end"/>
    </w:r>
  </w:p>
  <w:p w14:paraId="3E937FC1"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360" w:hanging="360"/>
      </w:pPr>
      <w:rPr>
        <w:rFonts w:ascii="Symbol" w:hAnsi="Symbol" w:hint="default"/>
        <w:sz w:val="24"/>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B92991"/>
    <w:multiLevelType w:val="hybridMultilevel"/>
    <w:tmpl w:val="B832DC78"/>
    <w:lvl w:ilvl="0" w:tplc="890E472E">
      <w:start w:val="1"/>
      <w:numFmt w:val="lowerLetter"/>
      <w:lvlText w:val="(%1)"/>
      <w:lvlJc w:val="left"/>
      <w:pPr>
        <w:ind w:left="115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5B7AF1"/>
    <w:multiLevelType w:val="hybridMultilevel"/>
    <w:tmpl w:val="609A4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53506"/>
    <w:multiLevelType w:val="hybridMultilevel"/>
    <w:tmpl w:val="C75A863A"/>
    <w:lvl w:ilvl="0" w:tplc="5062143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B11EB7"/>
    <w:multiLevelType w:val="hybridMultilevel"/>
    <w:tmpl w:val="C2C45B7A"/>
    <w:lvl w:ilvl="0" w:tplc="0409000F">
      <w:start w:val="1"/>
      <w:numFmt w:val="decimal"/>
      <w:lvlText w:val="%1."/>
      <w:lvlJc w:val="left"/>
      <w:pPr>
        <w:ind w:left="720" w:hanging="360"/>
      </w:pPr>
    </w:lvl>
    <w:lvl w:ilvl="1" w:tplc="D8CEFD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C2F67"/>
    <w:multiLevelType w:val="hybridMultilevel"/>
    <w:tmpl w:val="5BB4809E"/>
    <w:lvl w:ilvl="0" w:tplc="4740D6DE">
      <w:start w:val="1"/>
      <w:numFmt w:val="lowerLetter"/>
      <w:lvlText w:val="(%1)"/>
      <w:lvlJc w:val="left"/>
      <w:pPr>
        <w:ind w:left="1152" w:hanging="360"/>
      </w:pPr>
      <w:rPr>
        <w:rFonts w:hint="default"/>
      </w:rPr>
    </w:lvl>
    <w:lvl w:ilvl="1" w:tplc="10090019">
      <w:start w:val="1"/>
      <w:numFmt w:val="lowerLetter"/>
      <w:lvlText w:val="%2."/>
      <w:lvlJc w:val="left"/>
      <w:pPr>
        <w:ind w:left="1872" w:hanging="360"/>
      </w:pPr>
    </w:lvl>
    <w:lvl w:ilvl="2" w:tplc="1009001B" w:tentative="1">
      <w:start w:val="1"/>
      <w:numFmt w:val="lowerRoman"/>
      <w:lvlText w:val="%3."/>
      <w:lvlJc w:val="right"/>
      <w:pPr>
        <w:ind w:left="2592" w:hanging="180"/>
      </w:pPr>
    </w:lvl>
    <w:lvl w:ilvl="3" w:tplc="1009000F" w:tentative="1">
      <w:start w:val="1"/>
      <w:numFmt w:val="decimal"/>
      <w:lvlText w:val="%4."/>
      <w:lvlJc w:val="left"/>
      <w:pPr>
        <w:ind w:left="3312" w:hanging="360"/>
      </w:pPr>
    </w:lvl>
    <w:lvl w:ilvl="4" w:tplc="10090019" w:tentative="1">
      <w:start w:val="1"/>
      <w:numFmt w:val="lowerLetter"/>
      <w:lvlText w:val="%5."/>
      <w:lvlJc w:val="left"/>
      <w:pPr>
        <w:ind w:left="4032" w:hanging="360"/>
      </w:pPr>
    </w:lvl>
    <w:lvl w:ilvl="5" w:tplc="1009001B" w:tentative="1">
      <w:start w:val="1"/>
      <w:numFmt w:val="lowerRoman"/>
      <w:lvlText w:val="%6."/>
      <w:lvlJc w:val="right"/>
      <w:pPr>
        <w:ind w:left="4752" w:hanging="180"/>
      </w:pPr>
    </w:lvl>
    <w:lvl w:ilvl="6" w:tplc="1009000F" w:tentative="1">
      <w:start w:val="1"/>
      <w:numFmt w:val="decimal"/>
      <w:lvlText w:val="%7."/>
      <w:lvlJc w:val="left"/>
      <w:pPr>
        <w:ind w:left="5472" w:hanging="360"/>
      </w:pPr>
    </w:lvl>
    <w:lvl w:ilvl="7" w:tplc="10090019" w:tentative="1">
      <w:start w:val="1"/>
      <w:numFmt w:val="lowerLetter"/>
      <w:lvlText w:val="%8."/>
      <w:lvlJc w:val="left"/>
      <w:pPr>
        <w:ind w:left="6192" w:hanging="360"/>
      </w:pPr>
    </w:lvl>
    <w:lvl w:ilvl="8" w:tplc="1009001B" w:tentative="1">
      <w:start w:val="1"/>
      <w:numFmt w:val="lowerRoman"/>
      <w:lvlText w:val="%9."/>
      <w:lvlJc w:val="right"/>
      <w:pPr>
        <w:ind w:left="6912" w:hanging="180"/>
      </w:pPr>
    </w:lvl>
  </w:abstractNum>
  <w:abstractNum w:abstractNumId="13"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80247"/>
    <w:multiLevelType w:val="multilevel"/>
    <w:tmpl w:val="FEF8F6E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900A8"/>
    <w:multiLevelType w:val="hybridMultilevel"/>
    <w:tmpl w:val="D196EF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75D48AC"/>
    <w:multiLevelType w:val="hybridMultilevel"/>
    <w:tmpl w:val="8C6439E8"/>
    <w:lvl w:ilvl="0" w:tplc="4740D6DE">
      <w:start w:val="1"/>
      <w:numFmt w:val="lowerLetter"/>
      <w:lvlText w:val="(%1)"/>
      <w:lvlJc w:val="left"/>
      <w:pPr>
        <w:ind w:left="1152" w:hanging="360"/>
      </w:pPr>
      <w:rPr>
        <w:rFonts w:hint="default"/>
      </w:rPr>
    </w:lvl>
    <w:lvl w:ilvl="1" w:tplc="10090019" w:tentative="1">
      <w:start w:val="1"/>
      <w:numFmt w:val="lowerLetter"/>
      <w:lvlText w:val="%2."/>
      <w:lvlJc w:val="left"/>
      <w:pPr>
        <w:ind w:left="1872" w:hanging="360"/>
      </w:pPr>
    </w:lvl>
    <w:lvl w:ilvl="2" w:tplc="1009001B" w:tentative="1">
      <w:start w:val="1"/>
      <w:numFmt w:val="lowerRoman"/>
      <w:lvlText w:val="%3."/>
      <w:lvlJc w:val="right"/>
      <w:pPr>
        <w:ind w:left="2592" w:hanging="180"/>
      </w:pPr>
    </w:lvl>
    <w:lvl w:ilvl="3" w:tplc="1009000F" w:tentative="1">
      <w:start w:val="1"/>
      <w:numFmt w:val="decimal"/>
      <w:lvlText w:val="%4."/>
      <w:lvlJc w:val="left"/>
      <w:pPr>
        <w:ind w:left="3312" w:hanging="360"/>
      </w:pPr>
    </w:lvl>
    <w:lvl w:ilvl="4" w:tplc="10090019" w:tentative="1">
      <w:start w:val="1"/>
      <w:numFmt w:val="lowerLetter"/>
      <w:lvlText w:val="%5."/>
      <w:lvlJc w:val="left"/>
      <w:pPr>
        <w:ind w:left="4032" w:hanging="360"/>
      </w:pPr>
    </w:lvl>
    <w:lvl w:ilvl="5" w:tplc="1009001B" w:tentative="1">
      <w:start w:val="1"/>
      <w:numFmt w:val="lowerRoman"/>
      <w:lvlText w:val="%6."/>
      <w:lvlJc w:val="right"/>
      <w:pPr>
        <w:ind w:left="4752" w:hanging="180"/>
      </w:pPr>
    </w:lvl>
    <w:lvl w:ilvl="6" w:tplc="1009000F" w:tentative="1">
      <w:start w:val="1"/>
      <w:numFmt w:val="decimal"/>
      <w:lvlText w:val="%7."/>
      <w:lvlJc w:val="left"/>
      <w:pPr>
        <w:ind w:left="5472" w:hanging="360"/>
      </w:pPr>
    </w:lvl>
    <w:lvl w:ilvl="7" w:tplc="10090019" w:tentative="1">
      <w:start w:val="1"/>
      <w:numFmt w:val="lowerLetter"/>
      <w:lvlText w:val="%8."/>
      <w:lvlJc w:val="left"/>
      <w:pPr>
        <w:ind w:left="6192" w:hanging="360"/>
      </w:pPr>
    </w:lvl>
    <w:lvl w:ilvl="8" w:tplc="1009001B" w:tentative="1">
      <w:start w:val="1"/>
      <w:numFmt w:val="lowerRoman"/>
      <w:lvlText w:val="%9."/>
      <w:lvlJc w:val="right"/>
      <w:pPr>
        <w:ind w:left="6912" w:hanging="180"/>
      </w:pPr>
    </w:lvl>
  </w:abstractNum>
  <w:abstractNum w:abstractNumId="21"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9"/>
  </w:num>
  <w:num w:numId="3">
    <w:abstractNumId w:val="0"/>
  </w:num>
  <w:num w:numId="4">
    <w:abstractNumId w:val="13"/>
  </w:num>
  <w:num w:numId="5">
    <w:abstractNumId w:val="11"/>
  </w:num>
  <w:num w:numId="6">
    <w:abstractNumId w:val="21"/>
  </w:num>
  <w:num w:numId="7">
    <w:abstractNumId w:val="23"/>
  </w:num>
  <w:num w:numId="8">
    <w:abstractNumId w:val="7"/>
  </w:num>
  <w:num w:numId="9">
    <w:abstractNumId w:val="14"/>
  </w:num>
  <w:num w:numId="10">
    <w:abstractNumId w:val="9"/>
  </w:num>
  <w:num w:numId="11">
    <w:abstractNumId w:val="17"/>
  </w:num>
  <w:num w:numId="12">
    <w:abstractNumId w:val="5"/>
  </w:num>
  <w:num w:numId="13">
    <w:abstractNumId w:val="22"/>
  </w:num>
  <w:num w:numId="14">
    <w:abstractNumId w:val="8"/>
  </w:num>
  <w:num w:numId="15">
    <w:abstractNumId w:val="10"/>
  </w:num>
  <w:num w:numId="16">
    <w:abstractNumId w:val="24"/>
  </w:num>
  <w:num w:numId="17">
    <w:abstractNumId w:val="10"/>
  </w:num>
  <w:num w:numId="18">
    <w:abstractNumId w:val="3"/>
  </w:num>
  <w:num w:numId="19">
    <w:abstractNumId w:val="1"/>
  </w:num>
  <w:num w:numId="20">
    <w:abstractNumId w:val="25"/>
  </w:num>
  <w:num w:numId="21">
    <w:abstractNumId w:val="16"/>
  </w:num>
  <w:num w:numId="22">
    <w:abstractNumId w:val="2"/>
  </w:num>
  <w:num w:numId="23">
    <w:abstractNumId w:val="18"/>
  </w:num>
  <w:num w:numId="24">
    <w:abstractNumId w:val="20"/>
  </w:num>
  <w:num w:numId="25">
    <w:abstractNumId w:val="6"/>
  </w:num>
  <w:num w:numId="26">
    <w:abstractNumId w:val="12"/>
  </w:num>
  <w:num w:numId="27">
    <w:abstractNumId w:val="4"/>
  </w:num>
  <w:num w:numId="2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ctiveWritingStyle w:appName="MSWord" w:lang="fr-FR" w:vendorID="64" w:dllVersion="131078"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1953"/>
    <w:rsid w:val="00033738"/>
    <w:rsid w:val="000546F7"/>
    <w:rsid w:val="000569EF"/>
    <w:rsid w:val="00057F8B"/>
    <w:rsid w:val="00064D97"/>
    <w:rsid w:val="00074F1E"/>
    <w:rsid w:val="00080608"/>
    <w:rsid w:val="00084E3E"/>
    <w:rsid w:val="00090985"/>
    <w:rsid w:val="000928B4"/>
    <w:rsid w:val="00094A68"/>
    <w:rsid w:val="00095D4B"/>
    <w:rsid w:val="000A15C1"/>
    <w:rsid w:val="000A65DA"/>
    <w:rsid w:val="000A6633"/>
    <w:rsid w:val="000B0755"/>
    <w:rsid w:val="000C363B"/>
    <w:rsid w:val="000D7A37"/>
    <w:rsid w:val="000E3F4C"/>
    <w:rsid w:val="000E7B54"/>
    <w:rsid w:val="000F5931"/>
    <w:rsid w:val="00120E73"/>
    <w:rsid w:val="00121290"/>
    <w:rsid w:val="0013233D"/>
    <w:rsid w:val="00140127"/>
    <w:rsid w:val="00140878"/>
    <w:rsid w:val="00152229"/>
    <w:rsid w:val="00153D32"/>
    <w:rsid w:val="00163DDE"/>
    <w:rsid w:val="00166D7B"/>
    <w:rsid w:val="00166EF9"/>
    <w:rsid w:val="00186663"/>
    <w:rsid w:val="001A451C"/>
    <w:rsid w:val="001A732A"/>
    <w:rsid w:val="001A7A9F"/>
    <w:rsid w:val="001B3F63"/>
    <w:rsid w:val="001B68B4"/>
    <w:rsid w:val="001C0D20"/>
    <w:rsid w:val="001C4731"/>
    <w:rsid w:val="001D4899"/>
    <w:rsid w:val="001F3D7B"/>
    <w:rsid w:val="00205826"/>
    <w:rsid w:val="00212CF1"/>
    <w:rsid w:val="00214EB3"/>
    <w:rsid w:val="00215B16"/>
    <w:rsid w:val="0022331F"/>
    <w:rsid w:val="00256BB6"/>
    <w:rsid w:val="002631ED"/>
    <w:rsid w:val="00265711"/>
    <w:rsid w:val="00270DA2"/>
    <w:rsid w:val="002715F6"/>
    <w:rsid w:val="00272ADF"/>
    <w:rsid w:val="00275ABB"/>
    <w:rsid w:val="0028046C"/>
    <w:rsid w:val="00292EED"/>
    <w:rsid w:val="0029777A"/>
    <w:rsid w:val="002A457D"/>
    <w:rsid w:val="002A7CE6"/>
    <w:rsid w:val="002C5B58"/>
    <w:rsid w:val="002C6ABB"/>
    <w:rsid w:val="002C7543"/>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46842"/>
    <w:rsid w:val="00353377"/>
    <w:rsid w:val="003540A6"/>
    <w:rsid w:val="003562E3"/>
    <w:rsid w:val="00363EF4"/>
    <w:rsid w:val="00366F05"/>
    <w:rsid w:val="00374686"/>
    <w:rsid w:val="00374A50"/>
    <w:rsid w:val="00383FF1"/>
    <w:rsid w:val="003871E6"/>
    <w:rsid w:val="003876B3"/>
    <w:rsid w:val="003935FD"/>
    <w:rsid w:val="003A194D"/>
    <w:rsid w:val="003A276D"/>
    <w:rsid w:val="003A4E10"/>
    <w:rsid w:val="003A5F3D"/>
    <w:rsid w:val="003D3C2B"/>
    <w:rsid w:val="003D468A"/>
    <w:rsid w:val="003E2817"/>
    <w:rsid w:val="003E5722"/>
    <w:rsid w:val="003F0E2E"/>
    <w:rsid w:val="003F418C"/>
    <w:rsid w:val="003F5B5F"/>
    <w:rsid w:val="003F60FC"/>
    <w:rsid w:val="0040206C"/>
    <w:rsid w:val="00410B29"/>
    <w:rsid w:val="00422985"/>
    <w:rsid w:val="00423681"/>
    <w:rsid w:val="004274F7"/>
    <w:rsid w:val="00427AE6"/>
    <w:rsid w:val="004433AB"/>
    <w:rsid w:val="00466C3A"/>
    <w:rsid w:val="00471793"/>
    <w:rsid w:val="004817A5"/>
    <w:rsid w:val="004841FB"/>
    <w:rsid w:val="00487270"/>
    <w:rsid w:val="00492081"/>
    <w:rsid w:val="00497A17"/>
    <w:rsid w:val="00497BB5"/>
    <w:rsid w:val="004B4581"/>
    <w:rsid w:val="004B7060"/>
    <w:rsid w:val="004C30F4"/>
    <w:rsid w:val="004D704D"/>
    <w:rsid w:val="004D7076"/>
    <w:rsid w:val="004E21C7"/>
    <w:rsid w:val="004F11C1"/>
    <w:rsid w:val="00502B04"/>
    <w:rsid w:val="005032D5"/>
    <w:rsid w:val="00511A25"/>
    <w:rsid w:val="00511E83"/>
    <w:rsid w:val="00511EBF"/>
    <w:rsid w:val="00540BE9"/>
    <w:rsid w:val="0054103E"/>
    <w:rsid w:val="005438F5"/>
    <w:rsid w:val="00544457"/>
    <w:rsid w:val="0054771E"/>
    <w:rsid w:val="00552DC8"/>
    <w:rsid w:val="00553D5C"/>
    <w:rsid w:val="005542B0"/>
    <w:rsid w:val="00561F0E"/>
    <w:rsid w:val="00587BEA"/>
    <w:rsid w:val="005A2D0D"/>
    <w:rsid w:val="005A606A"/>
    <w:rsid w:val="005C0205"/>
    <w:rsid w:val="005C43A2"/>
    <w:rsid w:val="005D2B10"/>
    <w:rsid w:val="005E0320"/>
    <w:rsid w:val="005F36E4"/>
    <w:rsid w:val="005F68BC"/>
    <w:rsid w:val="00602AF4"/>
    <w:rsid w:val="00626D01"/>
    <w:rsid w:val="00633F6D"/>
    <w:rsid w:val="00636295"/>
    <w:rsid w:val="00645172"/>
    <w:rsid w:val="00654317"/>
    <w:rsid w:val="0065600A"/>
    <w:rsid w:val="00665583"/>
    <w:rsid w:val="006735C2"/>
    <w:rsid w:val="00682473"/>
    <w:rsid w:val="00682A07"/>
    <w:rsid w:val="00685B21"/>
    <w:rsid w:val="00691933"/>
    <w:rsid w:val="006964B4"/>
    <w:rsid w:val="00697497"/>
    <w:rsid w:val="006C13C2"/>
    <w:rsid w:val="006C2996"/>
    <w:rsid w:val="006C3770"/>
    <w:rsid w:val="006C46BE"/>
    <w:rsid w:val="006D00FA"/>
    <w:rsid w:val="006D43D2"/>
    <w:rsid w:val="006E39F2"/>
    <w:rsid w:val="006E3D45"/>
    <w:rsid w:val="006E5DC7"/>
    <w:rsid w:val="006E6404"/>
    <w:rsid w:val="006E6CBA"/>
    <w:rsid w:val="006F4846"/>
    <w:rsid w:val="006F4CDE"/>
    <w:rsid w:val="00701240"/>
    <w:rsid w:val="00714256"/>
    <w:rsid w:val="00716392"/>
    <w:rsid w:val="0071715C"/>
    <w:rsid w:val="00724935"/>
    <w:rsid w:val="0072670F"/>
    <w:rsid w:val="007445FF"/>
    <w:rsid w:val="007456E7"/>
    <w:rsid w:val="00751D10"/>
    <w:rsid w:val="007556E5"/>
    <w:rsid w:val="00755EC7"/>
    <w:rsid w:val="0076160B"/>
    <w:rsid w:val="00761DDD"/>
    <w:rsid w:val="00770A83"/>
    <w:rsid w:val="00770D56"/>
    <w:rsid w:val="00772B32"/>
    <w:rsid w:val="00773F47"/>
    <w:rsid w:val="00776F55"/>
    <w:rsid w:val="00785861"/>
    <w:rsid w:val="00795072"/>
    <w:rsid w:val="007963A5"/>
    <w:rsid w:val="007A102D"/>
    <w:rsid w:val="007A55AC"/>
    <w:rsid w:val="007B530B"/>
    <w:rsid w:val="007C23DF"/>
    <w:rsid w:val="007C576E"/>
    <w:rsid w:val="007C7380"/>
    <w:rsid w:val="007F0D43"/>
    <w:rsid w:val="00801C86"/>
    <w:rsid w:val="008046C6"/>
    <w:rsid w:val="00810613"/>
    <w:rsid w:val="0081713C"/>
    <w:rsid w:val="00825946"/>
    <w:rsid w:val="00826674"/>
    <w:rsid w:val="00826B65"/>
    <w:rsid w:val="00831AA9"/>
    <w:rsid w:val="00837023"/>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B02AE"/>
    <w:rsid w:val="008B718A"/>
    <w:rsid w:val="008C0658"/>
    <w:rsid w:val="008C175D"/>
    <w:rsid w:val="008C1902"/>
    <w:rsid w:val="008C1E64"/>
    <w:rsid w:val="008D0F99"/>
    <w:rsid w:val="008F5919"/>
    <w:rsid w:val="00902639"/>
    <w:rsid w:val="00905902"/>
    <w:rsid w:val="00912A74"/>
    <w:rsid w:val="009133EB"/>
    <w:rsid w:val="00915A9A"/>
    <w:rsid w:val="0092314E"/>
    <w:rsid w:val="00926851"/>
    <w:rsid w:val="009278C6"/>
    <w:rsid w:val="00934FB3"/>
    <w:rsid w:val="00937535"/>
    <w:rsid w:val="00941D3D"/>
    <w:rsid w:val="0094478D"/>
    <w:rsid w:val="009659E4"/>
    <w:rsid w:val="00972131"/>
    <w:rsid w:val="00977C0A"/>
    <w:rsid w:val="009B6AAE"/>
    <w:rsid w:val="009C14E0"/>
    <w:rsid w:val="009C48C6"/>
    <w:rsid w:val="009E304A"/>
    <w:rsid w:val="009E71BA"/>
    <w:rsid w:val="00A04B0A"/>
    <w:rsid w:val="00A04F57"/>
    <w:rsid w:val="00A0614E"/>
    <w:rsid w:val="00A17AD9"/>
    <w:rsid w:val="00A25067"/>
    <w:rsid w:val="00A47A9F"/>
    <w:rsid w:val="00A65852"/>
    <w:rsid w:val="00A70640"/>
    <w:rsid w:val="00A70747"/>
    <w:rsid w:val="00A72679"/>
    <w:rsid w:val="00A73DA4"/>
    <w:rsid w:val="00A768D6"/>
    <w:rsid w:val="00A777C8"/>
    <w:rsid w:val="00A81F2C"/>
    <w:rsid w:val="00A94A1C"/>
    <w:rsid w:val="00AA2170"/>
    <w:rsid w:val="00AA586A"/>
    <w:rsid w:val="00AB262D"/>
    <w:rsid w:val="00AB6ED5"/>
    <w:rsid w:val="00AC5C16"/>
    <w:rsid w:val="00AC7245"/>
    <w:rsid w:val="00AE26BE"/>
    <w:rsid w:val="00AE2CFC"/>
    <w:rsid w:val="00AE4629"/>
    <w:rsid w:val="00B16646"/>
    <w:rsid w:val="00B176F9"/>
    <w:rsid w:val="00B22784"/>
    <w:rsid w:val="00B367F7"/>
    <w:rsid w:val="00B40740"/>
    <w:rsid w:val="00B42A09"/>
    <w:rsid w:val="00B43478"/>
    <w:rsid w:val="00B439CD"/>
    <w:rsid w:val="00B5556B"/>
    <w:rsid w:val="00B60A1B"/>
    <w:rsid w:val="00B6277C"/>
    <w:rsid w:val="00B77A02"/>
    <w:rsid w:val="00B87E74"/>
    <w:rsid w:val="00B933B3"/>
    <w:rsid w:val="00BA3699"/>
    <w:rsid w:val="00BA4D7D"/>
    <w:rsid w:val="00BB2444"/>
    <w:rsid w:val="00BB4179"/>
    <w:rsid w:val="00BD19EB"/>
    <w:rsid w:val="00BD468A"/>
    <w:rsid w:val="00BE36A4"/>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96528"/>
    <w:rsid w:val="00DB15DF"/>
    <w:rsid w:val="00DC0646"/>
    <w:rsid w:val="00DC23C7"/>
    <w:rsid w:val="00DC50D4"/>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54F4"/>
    <w:rsid w:val="00E76A44"/>
    <w:rsid w:val="00EA17D1"/>
    <w:rsid w:val="00EA573B"/>
    <w:rsid w:val="00EC0618"/>
    <w:rsid w:val="00EE08B7"/>
    <w:rsid w:val="00EE410D"/>
    <w:rsid w:val="00EE78F6"/>
    <w:rsid w:val="00F0431F"/>
    <w:rsid w:val="00F11804"/>
    <w:rsid w:val="00F150B1"/>
    <w:rsid w:val="00F16756"/>
    <w:rsid w:val="00F34CDA"/>
    <w:rsid w:val="00F4138C"/>
    <w:rsid w:val="00F439A1"/>
    <w:rsid w:val="00F54C43"/>
    <w:rsid w:val="00F6771E"/>
    <w:rsid w:val="00F7359A"/>
    <w:rsid w:val="00F74932"/>
    <w:rsid w:val="00F75660"/>
    <w:rsid w:val="00F91622"/>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2EBEF"/>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8B718A"/>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u w:val="single"/>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B718A"/>
    <w:rPr>
      <w:rFonts w:ascii="Arial" w:eastAsia="MS Gothic" w:hAnsi="Arial"/>
      <w:b/>
      <w:bCs/>
      <w:sz w:val="28"/>
      <w:u w:val="single"/>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character" w:customStyle="1" w:styleId="UnresolvedMention">
    <w:name w:val="Unresolved Mention"/>
    <w:basedOn w:val="DefaultParagraphFont"/>
    <w:uiPriority w:val="99"/>
    <w:semiHidden/>
    <w:unhideWhenUsed/>
    <w:rsid w:val="00402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master.ca/policy/Students-AcademicStudies/AcademicAccommodation-StudentsWithDisabilities.pdf" TargetMode="External"/><Relationship Id="rId18" Type="http://schemas.openxmlformats.org/officeDocument/2006/relationships/hyperlink" Target="mailto:millet@mcmaster.c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93/sw/swz027" TargetMode="Externa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https://socialwork.mcmaster.ca/resources/undergraduate-resources/policy-on-extensions-and-incompletes-november-2019.docx/view" TargetMode="External"/><Relationship Id="rId25" Type="http://schemas.openxmlformats.org/officeDocument/2006/relationships/hyperlink" Target="https://doi.org/10.1080/14681990410001640853" TargetMode="External"/><Relationship Id="rId2" Type="http://schemas.openxmlformats.org/officeDocument/2006/relationships/numbering" Target="numbering.xml"/><Relationship Id="rId16" Type="http://schemas.openxmlformats.org/officeDocument/2006/relationships/hyperlink" Target="mailto:prestosl@mcmaster.ca" TargetMode="External"/><Relationship Id="rId20" Type="http://schemas.openxmlformats.org/officeDocument/2006/relationships/hyperlink" Target="https://doi.org/10.1093/sw/swx0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orna\Documents\AppData\Local\Microsoft\Windows\INetCache\Content.Outlook\J07G1XFK\www.mcmaster.ca\academicintegrity" TargetMode="External"/><Relationship Id="rId24" Type="http://schemas.openxmlformats.org/officeDocument/2006/relationships/hyperlink" Target="https://doi.org/10.1007/s12119-018-09584-1"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hyperlink" Target="https://doi.org/10.1007/s12119-018-9573-8" TargetMode="External"/><Relationship Id="rId28" Type="http://schemas.openxmlformats.org/officeDocument/2006/relationships/fontTable" Target="fontTable.xml"/><Relationship Id="rId10" Type="http://schemas.openxmlformats.org/officeDocument/2006/relationships/hyperlink" Target="file:///C:\Users\Lorna\Documents\AppData\Local\Microsoft\Windows\INetCache\Content.Outlook\J07G1XFK\www.mcmaster.ca\academicintegrity" TargetMode="External"/><Relationship Id="rId19" Type="http://schemas.openxmlformats.org/officeDocument/2006/relationships/hyperlink" Target="mailto:prestosl@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hyperlink" Target="https://socialsciences.mcmaster.ca/current-students/riso" TargetMode="External"/><Relationship Id="rId22" Type="http://schemas.openxmlformats.org/officeDocument/2006/relationships/hyperlink" Target="https://doi.org/10.1093/sw/sww076"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40F30-BF44-4640-8D90-0AB3A49B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12</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23858</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2</cp:revision>
  <cp:lastPrinted>2019-12-01T21:15:00Z</cp:lastPrinted>
  <dcterms:created xsi:type="dcterms:W3CDTF">2019-12-02T20:50:00Z</dcterms:created>
  <dcterms:modified xsi:type="dcterms:W3CDTF">2019-12-02T20:50:00Z</dcterms:modified>
  <cp:category/>
</cp:coreProperties>
</file>